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AE" w:rsidRPr="000248F7" w:rsidRDefault="003954AE" w:rsidP="000248F7">
      <w:pPr>
        <w:pStyle w:val="a3"/>
        <w:jc w:val="center"/>
        <w:rPr>
          <w:b/>
        </w:rPr>
      </w:pPr>
      <w:r w:rsidRPr="000248F7">
        <w:rPr>
          <w:b/>
        </w:rPr>
        <w:t>Аналитическая справка</w:t>
      </w:r>
    </w:p>
    <w:p w:rsidR="003954AE" w:rsidRPr="000248F7" w:rsidRDefault="000248F7" w:rsidP="000248F7">
      <w:pPr>
        <w:pStyle w:val="a3"/>
        <w:jc w:val="center"/>
        <w:rPr>
          <w:b/>
        </w:rPr>
      </w:pPr>
      <w:r>
        <w:rPr>
          <w:b/>
        </w:rPr>
        <w:t>о результатах</w:t>
      </w:r>
      <w:r w:rsidR="003954AE" w:rsidRPr="000248F7">
        <w:rPr>
          <w:b/>
        </w:rPr>
        <w:t xml:space="preserve"> мониторинга </w:t>
      </w:r>
      <w:proofErr w:type="spellStart"/>
      <w:r w:rsidR="003954AE" w:rsidRPr="000248F7">
        <w:rPr>
          <w:b/>
        </w:rPr>
        <w:t>сформированности</w:t>
      </w:r>
      <w:proofErr w:type="spellEnd"/>
      <w:r w:rsidR="003954AE" w:rsidRPr="000248F7">
        <w:rPr>
          <w:b/>
        </w:rPr>
        <w:t xml:space="preserve"> УУД</w:t>
      </w:r>
    </w:p>
    <w:p w:rsidR="003954AE" w:rsidRPr="000248F7" w:rsidRDefault="003954AE" w:rsidP="000248F7">
      <w:pPr>
        <w:pStyle w:val="a3"/>
        <w:jc w:val="center"/>
        <w:rPr>
          <w:b/>
        </w:rPr>
      </w:pPr>
      <w:r w:rsidRPr="000248F7">
        <w:rPr>
          <w:b/>
        </w:rPr>
        <w:t>у учащих</w:t>
      </w:r>
      <w:r w:rsidR="00ED02B1">
        <w:rPr>
          <w:b/>
        </w:rPr>
        <w:t>ся 1-4 классов по итогам 2019-2020</w:t>
      </w:r>
      <w:r w:rsidR="00FA7E42">
        <w:rPr>
          <w:b/>
        </w:rPr>
        <w:t xml:space="preserve"> учебного года                                            </w:t>
      </w:r>
      <w:r w:rsidR="00ED02B1">
        <w:rPr>
          <w:b/>
        </w:rPr>
        <w:t xml:space="preserve">                              МБОУ « Амгин</w:t>
      </w:r>
      <w:proofErr w:type="gramStart"/>
      <w:r w:rsidR="00ED02B1">
        <w:rPr>
          <w:b/>
        </w:rPr>
        <w:t>о-</w:t>
      </w:r>
      <w:proofErr w:type="gramEnd"/>
      <w:r w:rsidR="00ED02B1">
        <w:rPr>
          <w:b/>
        </w:rPr>
        <w:t xml:space="preserve"> Олекминская СОШ»</w:t>
      </w:r>
    </w:p>
    <w:p w:rsidR="003954AE" w:rsidRPr="000248F7" w:rsidRDefault="003954AE" w:rsidP="000248F7">
      <w:pPr>
        <w:pStyle w:val="a3"/>
        <w:jc w:val="both"/>
      </w:pPr>
      <w:r w:rsidRPr="000248F7">
        <w:t xml:space="preserve">      В связи с реализацией Федерального государственного образовательного стандарта   начального общего образования администрацией проведен внутренний мониторинг образовательных результатов уча</w:t>
      </w:r>
      <w:r w:rsidR="00ED02B1">
        <w:t>щихся 1-4 классов по итогам 2019-2020</w:t>
      </w:r>
      <w:r w:rsidRPr="000248F7">
        <w:t xml:space="preserve"> учебного года.</w:t>
      </w:r>
    </w:p>
    <w:p w:rsidR="003954AE" w:rsidRPr="000248F7" w:rsidRDefault="003954AE" w:rsidP="000248F7">
      <w:pPr>
        <w:pStyle w:val="a3"/>
        <w:jc w:val="both"/>
      </w:pPr>
      <w:r w:rsidRPr="000248F7">
        <w:t xml:space="preserve">  </w:t>
      </w:r>
    </w:p>
    <w:p w:rsidR="003954AE" w:rsidRPr="000248F7" w:rsidRDefault="003954AE" w:rsidP="000248F7">
      <w:pPr>
        <w:pStyle w:val="a3"/>
        <w:jc w:val="both"/>
      </w:pPr>
      <w:r w:rsidRPr="000248F7">
        <w:t xml:space="preserve">     </w:t>
      </w:r>
      <w:r w:rsidRPr="000248F7">
        <w:rPr>
          <w:b/>
        </w:rPr>
        <w:t>Цель</w:t>
      </w:r>
      <w:r w:rsidRPr="000248F7">
        <w:t xml:space="preserve"> мониторинга – отслеживание процесса развития метапредметных УУД учащихся начальных классов для проектирования учебного процесса и принятия своевременных управленческих решений.</w:t>
      </w:r>
    </w:p>
    <w:p w:rsidR="003954AE" w:rsidRPr="000248F7" w:rsidRDefault="003954AE" w:rsidP="000248F7">
      <w:pPr>
        <w:pStyle w:val="a3"/>
        <w:jc w:val="both"/>
      </w:pPr>
      <w:r w:rsidRPr="000248F7">
        <w:rPr>
          <w:b/>
        </w:rPr>
        <w:t xml:space="preserve">Задачи </w:t>
      </w:r>
      <w:r w:rsidRPr="000248F7">
        <w:t>мониторинга:</w:t>
      </w:r>
    </w:p>
    <w:p w:rsidR="003954AE" w:rsidRPr="000248F7" w:rsidRDefault="003954AE" w:rsidP="000248F7">
      <w:pPr>
        <w:pStyle w:val="a3"/>
        <w:jc w:val="both"/>
      </w:pPr>
      <w:r w:rsidRPr="000248F7">
        <w:t xml:space="preserve">1. Определить уровень </w:t>
      </w:r>
      <w:proofErr w:type="spellStart"/>
      <w:r w:rsidRPr="000248F7">
        <w:t>сформированности</w:t>
      </w:r>
      <w:proofErr w:type="spellEnd"/>
      <w:r w:rsidRPr="000248F7">
        <w:t xml:space="preserve"> метапредметных УУД каждого ученика на данном этапе обучения.</w:t>
      </w:r>
    </w:p>
    <w:p w:rsidR="003954AE" w:rsidRPr="000248F7" w:rsidRDefault="003954AE" w:rsidP="000248F7">
      <w:pPr>
        <w:pStyle w:val="a3"/>
        <w:jc w:val="both"/>
      </w:pPr>
      <w:r w:rsidRPr="000248F7">
        <w:t>2. Определить проблемные зоны в решении задач образования учащихся и определение возможных путей их ликвидации.</w:t>
      </w:r>
    </w:p>
    <w:p w:rsidR="003954AE" w:rsidRPr="000248F7" w:rsidRDefault="003954AE" w:rsidP="000248F7">
      <w:pPr>
        <w:pStyle w:val="a3"/>
        <w:jc w:val="both"/>
      </w:pPr>
      <w:r w:rsidRPr="000248F7">
        <w:t>3. Разработать стратегию помощи учащимся, испытывающим трудности в формировании тех или иных метапредметных УУД.</w:t>
      </w:r>
    </w:p>
    <w:p w:rsidR="003954AE" w:rsidRPr="000248F7" w:rsidRDefault="003954AE" w:rsidP="000248F7">
      <w:pPr>
        <w:pStyle w:val="a3"/>
        <w:jc w:val="both"/>
      </w:pPr>
      <w:r w:rsidRPr="000248F7">
        <w:t>4. Определить успешность работы педагога по формированию метапредметных УУД учащихся.</w:t>
      </w:r>
    </w:p>
    <w:p w:rsidR="003954AE" w:rsidRPr="000248F7" w:rsidRDefault="003954AE" w:rsidP="000248F7">
      <w:pPr>
        <w:pStyle w:val="a3"/>
        <w:jc w:val="both"/>
      </w:pPr>
      <w:r w:rsidRPr="000248F7">
        <w:t xml:space="preserve">     Оценка метапредметных результатов описана как оценка планируемых результатов представленных в разделах: «Регулятивные учебные действия», «Познавательные учебные действия», «Коммуникативные учебные действия».</w:t>
      </w:r>
    </w:p>
    <w:p w:rsidR="003954AE" w:rsidRPr="000248F7" w:rsidRDefault="003954AE" w:rsidP="000248F7">
      <w:pPr>
        <w:pStyle w:val="a3"/>
        <w:jc w:val="both"/>
      </w:pPr>
      <w:r w:rsidRPr="000248F7">
        <w:t xml:space="preserve">Основным объектом оценки метапредметных результатов служит </w:t>
      </w:r>
      <w:proofErr w:type="spellStart"/>
      <w:r w:rsidRPr="000248F7">
        <w:t>сформированность</w:t>
      </w:r>
      <w:proofErr w:type="spellEnd"/>
      <w:r w:rsidRPr="000248F7">
        <w:t xml:space="preserve"> ряда регулятивных, коммуникативных и познавательных универсальных действий, т.е. таких умственных действий учащихся, которые направлены на анализ и управление своей познавательной деятельностью.</w:t>
      </w:r>
    </w:p>
    <w:p w:rsidR="003954AE" w:rsidRPr="000248F7" w:rsidRDefault="003954AE" w:rsidP="000248F7">
      <w:pPr>
        <w:pStyle w:val="a3"/>
        <w:jc w:val="both"/>
      </w:pPr>
      <w:r w:rsidRPr="000248F7">
        <w:rPr>
          <w:b/>
        </w:rPr>
        <w:t>Методы контроля</w:t>
      </w:r>
      <w:r w:rsidRPr="000248F7">
        <w:t>: наблюдение, проектирование, тестирование.</w:t>
      </w:r>
    </w:p>
    <w:p w:rsidR="003954AE" w:rsidRPr="000248F7" w:rsidRDefault="003954AE" w:rsidP="000248F7">
      <w:pPr>
        <w:pStyle w:val="a3"/>
        <w:jc w:val="both"/>
      </w:pPr>
      <w:r w:rsidRPr="000248F7">
        <w:rPr>
          <w:b/>
        </w:rPr>
        <w:t>Формы контроля</w:t>
      </w:r>
      <w:r w:rsidRPr="000248F7">
        <w:t>: индивидуальные, групповые, фронтальные формы; устный и письменный опрос.</w:t>
      </w:r>
    </w:p>
    <w:p w:rsidR="003954AE" w:rsidRPr="000248F7" w:rsidRDefault="003954AE" w:rsidP="000248F7">
      <w:pPr>
        <w:pStyle w:val="a3"/>
        <w:jc w:val="both"/>
      </w:pPr>
      <w:r w:rsidRPr="000248F7">
        <w:t>Инструментарий контроля: задания УУД, карта наблюдений.</w:t>
      </w:r>
    </w:p>
    <w:p w:rsidR="003954AE" w:rsidRPr="000248F7" w:rsidRDefault="003954AE" w:rsidP="000248F7">
      <w:pPr>
        <w:pStyle w:val="a3"/>
        <w:jc w:val="center"/>
        <w:rPr>
          <w:b/>
        </w:rPr>
      </w:pPr>
      <w:r w:rsidRPr="000248F7">
        <w:rPr>
          <w:b/>
        </w:rPr>
        <w:t>Результаты:</w:t>
      </w:r>
    </w:p>
    <w:p w:rsidR="003954AE" w:rsidRPr="0013489A" w:rsidRDefault="003954AE" w:rsidP="000248F7">
      <w:pPr>
        <w:pStyle w:val="a3"/>
        <w:jc w:val="both"/>
        <w:rPr>
          <w:b/>
        </w:rPr>
      </w:pPr>
      <w:r w:rsidRPr="000248F7">
        <w:rPr>
          <w:b/>
        </w:rPr>
        <w:t xml:space="preserve">Регулятивные </w:t>
      </w:r>
      <w:r w:rsidRPr="0013489A">
        <w:rPr>
          <w:b/>
        </w:rPr>
        <w:t>УУД</w:t>
      </w:r>
      <w:r w:rsidR="0013489A">
        <w:rPr>
          <w:b/>
        </w:rPr>
        <w:t xml:space="preserve">. </w:t>
      </w:r>
      <w:r w:rsidR="0013489A" w:rsidRPr="0013489A">
        <w:t>Произвольность выступает,  как умение ребёнка строить свою деятельность в соответствии с предлагаемыми образцами и правилами и осуществлять контроль и коррекцию выполняемых действий, т.е. является составляющим звеном формирующейся учебной деятельности</w:t>
      </w:r>
      <w:r w:rsidR="0013489A">
        <w:t xml:space="preserve">. </w:t>
      </w:r>
    </w:p>
    <w:p w:rsidR="00902FDF" w:rsidRPr="00902FDF" w:rsidRDefault="0013489A" w:rsidP="00902FDF">
      <w:pPr>
        <w:jc w:val="center"/>
      </w:pPr>
      <w:r>
        <w:t>Результаты диагностики</w:t>
      </w:r>
      <w:r w:rsidR="00902FDF" w:rsidRPr="00902FDF">
        <w:t xml:space="preserve"> уровня </w:t>
      </w:r>
      <w:proofErr w:type="spellStart"/>
      <w:r w:rsidR="00902FDF" w:rsidRPr="00902FDF">
        <w:t>сформированности</w:t>
      </w:r>
      <w:proofErr w:type="spellEnd"/>
      <w:r w:rsidR="00902FDF">
        <w:t xml:space="preserve"> </w:t>
      </w:r>
      <w:proofErr w:type="gramStart"/>
      <w:r w:rsidR="00902FDF">
        <w:t>регулятивных</w:t>
      </w:r>
      <w:proofErr w:type="gramEnd"/>
      <w:r w:rsidR="00902FDF">
        <w:t xml:space="preserve"> </w:t>
      </w:r>
      <w:r w:rsidR="00902FDF" w:rsidRPr="00902FDF">
        <w:t>УУД</w:t>
      </w:r>
    </w:p>
    <w:tbl>
      <w:tblPr>
        <w:tblStyle w:val="-11"/>
        <w:tblW w:w="0" w:type="auto"/>
        <w:tblLook w:val="04A0"/>
      </w:tblPr>
      <w:tblGrid>
        <w:gridCol w:w="1903"/>
        <w:gridCol w:w="1734"/>
        <w:gridCol w:w="1995"/>
        <w:gridCol w:w="1987"/>
        <w:gridCol w:w="1952"/>
      </w:tblGrid>
      <w:tr w:rsidR="00902FDF" w:rsidRPr="00902FDF" w:rsidTr="005E302D">
        <w:trPr>
          <w:cnfStyle w:val="100000000000"/>
          <w:trHeight w:val="409"/>
        </w:trPr>
        <w:tc>
          <w:tcPr>
            <w:cnfStyle w:val="001000000000"/>
            <w:tcW w:w="1903" w:type="dxa"/>
          </w:tcPr>
          <w:p w:rsidR="00902FDF" w:rsidRPr="00902FDF" w:rsidRDefault="00902FDF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Класс</w:t>
            </w:r>
          </w:p>
        </w:tc>
        <w:tc>
          <w:tcPr>
            <w:tcW w:w="1734" w:type="dxa"/>
          </w:tcPr>
          <w:p w:rsidR="00902FDF" w:rsidRPr="00902FDF" w:rsidRDefault="00902FDF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Количество</w:t>
            </w:r>
          </w:p>
        </w:tc>
        <w:tc>
          <w:tcPr>
            <w:tcW w:w="1995" w:type="dxa"/>
          </w:tcPr>
          <w:p w:rsidR="00902FDF" w:rsidRPr="00902FDF" w:rsidRDefault="00902FDF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Высокий</w:t>
            </w:r>
          </w:p>
        </w:tc>
        <w:tc>
          <w:tcPr>
            <w:tcW w:w="1987" w:type="dxa"/>
          </w:tcPr>
          <w:p w:rsidR="00902FDF" w:rsidRPr="00902FDF" w:rsidRDefault="00902FDF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Средний</w:t>
            </w:r>
          </w:p>
        </w:tc>
        <w:tc>
          <w:tcPr>
            <w:tcW w:w="1952" w:type="dxa"/>
          </w:tcPr>
          <w:p w:rsidR="00902FDF" w:rsidRPr="00902FDF" w:rsidRDefault="00902FDF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Низкий</w:t>
            </w:r>
          </w:p>
        </w:tc>
      </w:tr>
      <w:tr w:rsidR="00ED02B1" w:rsidRPr="00902FDF" w:rsidTr="005E302D">
        <w:trPr>
          <w:cnfStyle w:val="000000100000"/>
          <w:trHeight w:val="126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902FD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ED02B1" w:rsidRPr="00902FDF" w:rsidTr="005E302D">
        <w:trPr>
          <w:cnfStyle w:val="000000010000"/>
          <w:trHeight w:val="177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</w:tr>
      <w:tr w:rsidR="00ED02B1" w:rsidRPr="00902FDF" w:rsidTr="005E302D">
        <w:trPr>
          <w:cnfStyle w:val="000000100000"/>
          <w:trHeight w:val="74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3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902FD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ED02B1" w:rsidRPr="00902FDF" w:rsidTr="005E302D">
        <w:trPr>
          <w:cnfStyle w:val="000000010000"/>
          <w:trHeight w:val="74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</w:tr>
    </w:tbl>
    <w:p w:rsidR="003954AE" w:rsidRPr="000248F7" w:rsidRDefault="003954AE" w:rsidP="000248F7">
      <w:pPr>
        <w:pStyle w:val="a3"/>
        <w:jc w:val="both"/>
      </w:pPr>
      <w:r w:rsidRPr="000248F7">
        <w:t xml:space="preserve"> </w:t>
      </w:r>
    </w:p>
    <w:p w:rsidR="00902FDF" w:rsidRDefault="0013489A" w:rsidP="000248F7">
      <w:pPr>
        <w:pStyle w:val="a3"/>
        <w:jc w:val="both"/>
      </w:pPr>
      <w:r w:rsidRPr="0013489A">
        <w:rPr>
          <w:noProof/>
        </w:rPr>
        <w:drawing>
          <wp:inline distT="0" distB="0" distL="0" distR="0">
            <wp:extent cx="4505325" cy="2009775"/>
            <wp:effectExtent l="0" t="0" r="9525" b="9525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3489A" w:rsidRPr="0013489A" w:rsidRDefault="0013489A" w:rsidP="0013489A">
      <w:pPr>
        <w:ind w:firstLine="540"/>
        <w:jc w:val="both"/>
      </w:pPr>
      <w:r>
        <w:t xml:space="preserve">Исследования показывают, что у учащихся 1 класса низкий уровень развития регулятивных УУД, что </w:t>
      </w:r>
      <w:r w:rsidR="00294EED">
        <w:t xml:space="preserve">является показателем </w:t>
      </w:r>
      <w:proofErr w:type="spellStart"/>
      <w:r w:rsidR="00294EED">
        <w:t>несформированности</w:t>
      </w:r>
      <w:proofErr w:type="spellEnd"/>
      <w:r w:rsidR="00294EED">
        <w:t xml:space="preserve"> произвольности поведения. У учащихся 2-3 классов отмечается средний уровень развития произвольности регуляции своего поведения и </w:t>
      </w:r>
      <w:r w:rsidR="00294EED">
        <w:lastRenderedPageBreak/>
        <w:t xml:space="preserve">деятельности. </w:t>
      </w:r>
      <w:r w:rsidRPr="0013489A">
        <w:t xml:space="preserve">Можно сделать </w:t>
      </w:r>
      <w:r w:rsidRPr="0013489A">
        <w:rPr>
          <w:b/>
        </w:rPr>
        <w:t>вывод</w:t>
      </w:r>
      <w:r w:rsidRPr="0013489A">
        <w:t xml:space="preserve">, что у большинства обучающихся 1-4 классов уровень </w:t>
      </w:r>
      <w:proofErr w:type="spellStart"/>
      <w:r w:rsidRPr="0013489A">
        <w:t>сформированности</w:t>
      </w:r>
      <w:proofErr w:type="spellEnd"/>
      <w:r w:rsidRPr="0013489A">
        <w:t xml:space="preserve"> регулятивных УУД достаточный. Однако</w:t>
      </w:r>
      <w:proofErr w:type="gramStart"/>
      <w:r w:rsidRPr="0013489A">
        <w:t>,</w:t>
      </w:r>
      <w:proofErr w:type="gramEnd"/>
      <w:r w:rsidRPr="0013489A">
        <w:t xml:space="preserve"> есть обучающиеся с низким уровнем </w:t>
      </w:r>
      <w:proofErr w:type="spellStart"/>
      <w:r w:rsidRPr="0013489A">
        <w:t>сформированности</w:t>
      </w:r>
      <w:proofErr w:type="spellEnd"/>
      <w:r w:rsidRPr="0013489A">
        <w:t>. Это значит, что контроль у этих школьников носит случайн</w:t>
      </w:r>
      <w:r w:rsidR="00043699">
        <w:t>ый, непроизвольный характер. Обу</w:t>
      </w:r>
      <w:r w:rsidRPr="0013489A">
        <w:t>ча</w:t>
      </w:r>
      <w:r w:rsidR="00043699">
        <w:t>ю</w:t>
      </w:r>
      <w:r w:rsidRPr="0013489A">
        <w:t xml:space="preserve">щиеся  не замечают допущенных ошибок, их внимание не устойчиво, плохо распределяемо. </w:t>
      </w:r>
    </w:p>
    <w:p w:rsidR="00294EED" w:rsidRPr="00294EED" w:rsidRDefault="00294EED" w:rsidP="00294EED">
      <w:pPr>
        <w:pStyle w:val="a3"/>
        <w:jc w:val="both"/>
      </w:pPr>
      <w:r w:rsidRPr="00294EED">
        <w:rPr>
          <w:b/>
          <w:i/>
        </w:rPr>
        <w:t>Рекомендовано</w:t>
      </w:r>
      <w:r w:rsidRPr="00294EED">
        <w:t xml:space="preserve">: учителям  обратить внимание на то, какие средства для организации своего поведения и деятельности выбирает ученик; как он удерживает инструкцию; планирует, контролирует и выполняет действие по заданному образцу и правилу; начинает выполнять действия и заканчивать его в требуемый временной момент. Для формирования действия контроля по образцу учителям необходимо </w:t>
      </w:r>
      <w:proofErr w:type="gramStart"/>
      <w:r w:rsidRPr="00294EED">
        <w:t>научить обучающихся проводить</w:t>
      </w:r>
      <w:proofErr w:type="gramEnd"/>
      <w:r w:rsidRPr="00294EED">
        <w:t xml:space="preserve"> поэлементный анализ объекта, сопоставлять его с заданным образцом, выявлять возможные расхождения, соотносить выявленные расхождения с недостатками учебных действий. </w:t>
      </w:r>
    </w:p>
    <w:p w:rsidR="0013489A" w:rsidRDefault="0013489A" w:rsidP="000248F7">
      <w:pPr>
        <w:pStyle w:val="a3"/>
        <w:jc w:val="both"/>
      </w:pPr>
    </w:p>
    <w:p w:rsidR="00294EED" w:rsidRPr="00210C30" w:rsidRDefault="003954AE" w:rsidP="00210C30">
      <w:pPr>
        <w:pStyle w:val="a3"/>
        <w:jc w:val="both"/>
        <w:rPr>
          <w:b/>
        </w:rPr>
      </w:pPr>
      <w:r w:rsidRPr="00294EED">
        <w:rPr>
          <w:b/>
        </w:rPr>
        <w:t>Познавательные УУД</w:t>
      </w:r>
      <w:r w:rsidR="00210C30">
        <w:rPr>
          <w:b/>
        </w:rPr>
        <w:t xml:space="preserve"> </w:t>
      </w:r>
      <w:r w:rsidR="00210C30" w:rsidRPr="00210C30">
        <w:t>включают действия исследования, поиска и отбора необходимой информации, ее структурирования; моделирование изучаемого содержания, логические действия и операции, выбор эффективных способов решения задач, рефлексию результатов деятельности.</w:t>
      </w:r>
      <w:r w:rsidR="00210C30">
        <w:rPr>
          <w:b/>
        </w:rPr>
        <w:t xml:space="preserve"> </w:t>
      </w:r>
      <w:r w:rsidR="00294EED" w:rsidRPr="00210C30">
        <w:t xml:space="preserve">В период обучения в начальной школе совершается переход от мышления наглядно-образного, являющегося основным для данного возраста, к словесно-логическому, понятийному мышлению. Поэтому ведущее значение для данного возраста приобретает развитие таких логических операций как сравнение и  обобщение. </w:t>
      </w:r>
    </w:p>
    <w:p w:rsidR="00210C30" w:rsidRPr="00902FDF" w:rsidRDefault="00210C30" w:rsidP="00210C30">
      <w:pPr>
        <w:jc w:val="center"/>
      </w:pPr>
      <w:r>
        <w:t>Результаты диагностики</w:t>
      </w:r>
      <w:r w:rsidRPr="00902FDF">
        <w:t xml:space="preserve"> уровня </w:t>
      </w:r>
      <w:proofErr w:type="spellStart"/>
      <w:r w:rsidRPr="00902FDF">
        <w:t>сформированности</w:t>
      </w:r>
      <w:proofErr w:type="spellEnd"/>
      <w:r>
        <w:t xml:space="preserve"> </w:t>
      </w:r>
      <w:proofErr w:type="gramStart"/>
      <w:r>
        <w:t>познавательных</w:t>
      </w:r>
      <w:proofErr w:type="gramEnd"/>
      <w:r>
        <w:t xml:space="preserve"> </w:t>
      </w:r>
      <w:r w:rsidRPr="00902FDF">
        <w:t>УУД</w:t>
      </w:r>
    </w:p>
    <w:tbl>
      <w:tblPr>
        <w:tblStyle w:val="-11"/>
        <w:tblW w:w="0" w:type="auto"/>
        <w:tblLook w:val="04A0"/>
      </w:tblPr>
      <w:tblGrid>
        <w:gridCol w:w="1903"/>
        <w:gridCol w:w="1734"/>
        <w:gridCol w:w="1995"/>
        <w:gridCol w:w="1987"/>
        <w:gridCol w:w="1952"/>
      </w:tblGrid>
      <w:tr w:rsidR="00210C30" w:rsidRPr="00902FDF" w:rsidTr="005E302D">
        <w:trPr>
          <w:cnfStyle w:val="100000000000"/>
          <w:trHeight w:val="409"/>
        </w:trPr>
        <w:tc>
          <w:tcPr>
            <w:cnfStyle w:val="001000000000"/>
            <w:tcW w:w="1903" w:type="dxa"/>
          </w:tcPr>
          <w:p w:rsidR="00210C30" w:rsidRPr="00902FDF" w:rsidRDefault="00210C30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Класс</w:t>
            </w:r>
          </w:p>
        </w:tc>
        <w:tc>
          <w:tcPr>
            <w:tcW w:w="1734" w:type="dxa"/>
          </w:tcPr>
          <w:p w:rsidR="00210C30" w:rsidRPr="00902FDF" w:rsidRDefault="00210C30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Количество</w:t>
            </w:r>
          </w:p>
        </w:tc>
        <w:tc>
          <w:tcPr>
            <w:tcW w:w="1995" w:type="dxa"/>
          </w:tcPr>
          <w:p w:rsidR="00210C30" w:rsidRPr="00902FDF" w:rsidRDefault="00210C30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Высокий</w:t>
            </w:r>
          </w:p>
        </w:tc>
        <w:tc>
          <w:tcPr>
            <w:tcW w:w="1987" w:type="dxa"/>
          </w:tcPr>
          <w:p w:rsidR="00210C30" w:rsidRPr="00902FDF" w:rsidRDefault="00210C30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Средний</w:t>
            </w:r>
          </w:p>
        </w:tc>
        <w:tc>
          <w:tcPr>
            <w:tcW w:w="1952" w:type="dxa"/>
          </w:tcPr>
          <w:p w:rsidR="00210C30" w:rsidRPr="00902FDF" w:rsidRDefault="00210C30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Низкий</w:t>
            </w:r>
          </w:p>
        </w:tc>
      </w:tr>
      <w:tr w:rsidR="00ED02B1" w:rsidRPr="00902FDF" w:rsidTr="005E302D">
        <w:trPr>
          <w:cnfStyle w:val="000000100000"/>
          <w:trHeight w:val="126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902FD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ED02B1" w:rsidRPr="00902FDF" w:rsidTr="005E302D">
        <w:trPr>
          <w:cnfStyle w:val="000000010000"/>
          <w:trHeight w:val="177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</w:tr>
      <w:tr w:rsidR="00ED02B1" w:rsidRPr="00902FDF" w:rsidTr="005E302D">
        <w:trPr>
          <w:cnfStyle w:val="000000100000"/>
          <w:trHeight w:val="74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3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902FD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ED02B1" w:rsidRPr="00902FDF" w:rsidTr="005E302D">
        <w:trPr>
          <w:cnfStyle w:val="000000010000"/>
          <w:trHeight w:val="74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</w:tr>
    </w:tbl>
    <w:p w:rsidR="00210C30" w:rsidRDefault="00210C30" w:rsidP="000248F7">
      <w:pPr>
        <w:pStyle w:val="a3"/>
        <w:jc w:val="both"/>
      </w:pPr>
    </w:p>
    <w:p w:rsidR="00210C30" w:rsidRDefault="00210C30" w:rsidP="000248F7">
      <w:pPr>
        <w:pStyle w:val="a3"/>
        <w:jc w:val="both"/>
      </w:pPr>
      <w:r w:rsidRPr="00210C30">
        <w:rPr>
          <w:noProof/>
        </w:rPr>
        <w:drawing>
          <wp:inline distT="0" distB="0" distL="0" distR="0">
            <wp:extent cx="4505325" cy="2009775"/>
            <wp:effectExtent l="0" t="0" r="9525" b="9525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10C30" w:rsidRPr="00210C30" w:rsidRDefault="00210C30" w:rsidP="00210C30">
      <w:pPr>
        <w:ind w:firstLine="708"/>
        <w:jc w:val="both"/>
      </w:pPr>
      <w:r w:rsidRPr="00210C30">
        <w:t>Можно утверждать,</w:t>
      </w:r>
      <w:r>
        <w:t xml:space="preserve"> что у большинства </w:t>
      </w:r>
      <w:proofErr w:type="gramStart"/>
      <w:r>
        <w:t>обучающихся</w:t>
      </w:r>
      <w:proofErr w:type="gramEnd"/>
      <w:r>
        <w:t xml:space="preserve"> 3 </w:t>
      </w:r>
      <w:r w:rsidR="00ED02B1">
        <w:t>- 4 класса на конец 2019-2020</w:t>
      </w:r>
      <w:r w:rsidRPr="00210C30">
        <w:t xml:space="preserve"> учебного года </w:t>
      </w:r>
      <w:r>
        <w:t xml:space="preserve">на достаточно высоком уровне </w:t>
      </w:r>
      <w:r w:rsidRPr="00210C30">
        <w:t xml:space="preserve">сформированы познавательные УУД. Однако </w:t>
      </w:r>
      <w:r>
        <w:t>у учащихся 1-2 классов данные показатели значительно западают, что говорит о низком уровне развития познавательных процессов, в том числе  мыслительных операций.</w:t>
      </w:r>
      <w:r w:rsidRPr="00210C30">
        <w:t xml:space="preserve"> </w:t>
      </w:r>
    </w:p>
    <w:p w:rsidR="00210C30" w:rsidRPr="0079201C" w:rsidRDefault="00210C30" w:rsidP="00210C30">
      <w:pPr>
        <w:pStyle w:val="a3"/>
        <w:jc w:val="both"/>
      </w:pPr>
      <w:r w:rsidRPr="0079201C">
        <w:rPr>
          <w:b/>
          <w:i/>
        </w:rPr>
        <w:t>Рекомендовано</w:t>
      </w:r>
      <w:r>
        <w:t>: д</w:t>
      </w:r>
      <w:r w:rsidRPr="0079201C">
        <w:t>ля формирования данных умений учител</w:t>
      </w:r>
      <w:r>
        <w:t>ям</w:t>
      </w:r>
      <w:r w:rsidRPr="0079201C">
        <w:t xml:space="preserve"> необходимо учить устанавливать причинно-следственные связи, строить логические цепи, анализировать задачи, больше давать заданий творческого и поискового характера. Включать задания на обобщение, учить учащихся находить общий существенный признак для группы понятий,  выделять закономерности, определять родовые взаимосвязи между ними. </w:t>
      </w:r>
      <w:r>
        <w:t xml:space="preserve"> </w:t>
      </w:r>
      <w:r w:rsidRPr="0079201C">
        <w:t xml:space="preserve">В дальнейшем умение обобщать материал будет являться основой формирования понятийного мышления. </w:t>
      </w:r>
    </w:p>
    <w:p w:rsidR="003954AE" w:rsidRPr="000248F7" w:rsidRDefault="003954AE" w:rsidP="000248F7">
      <w:pPr>
        <w:pStyle w:val="a3"/>
        <w:jc w:val="both"/>
      </w:pPr>
    </w:p>
    <w:p w:rsidR="00210C30" w:rsidRDefault="003954AE" w:rsidP="00210C30">
      <w:pPr>
        <w:pStyle w:val="a3"/>
        <w:jc w:val="both"/>
      </w:pPr>
      <w:r w:rsidRPr="00210C30">
        <w:rPr>
          <w:b/>
        </w:rPr>
        <w:t>Коммуникативные УУД</w:t>
      </w:r>
      <w:r w:rsidR="00210C30">
        <w:rPr>
          <w:b/>
        </w:rPr>
        <w:t xml:space="preserve"> </w:t>
      </w:r>
      <w:r w:rsidR="00210C30">
        <w:t>обеспечивают возможности сотрудничества –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строить продуктивное взаимодействие со сверстниками и взрослыми.</w:t>
      </w:r>
    </w:p>
    <w:p w:rsidR="00210C30" w:rsidRPr="00902FDF" w:rsidRDefault="00210C30" w:rsidP="00210C30">
      <w:pPr>
        <w:jc w:val="center"/>
      </w:pPr>
      <w:r>
        <w:lastRenderedPageBreak/>
        <w:t>Результаты диагностики</w:t>
      </w:r>
      <w:r w:rsidRPr="00902FDF">
        <w:t xml:space="preserve"> уровня </w:t>
      </w:r>
      <w:proofErr w:type="spellStart"/>
      <w:r w:rsidRPr="00902FDF">
        <w:t>сформированности</w:t>
      </w:r>
      <w:proofErr w:type="spellEnd"/>
      <w:r>
        <w:t xml:space="preserve"> </w:t>
      </w:r>
      <w:proofErr w:type="gramStart"/>
      <w:r>
        <w:t>коммуникативных</w:t>
      </w:r>
      <w:proofErr w:type="gramEnd"/>
      <w:r>
        <w:t xml:space="preserve"> </w:t>
      </w:r>
      <w:r w:rsidRPr="00902FDF">
        <w:t>УУД</w:t>
      </w:r>
    </w:p>
    <w:tbl>
      <w:tblPr>
        <w:tblStyle w:val="-11"/>
        <w:tblW w:w="0" w:type="auto"/>
        <w:tblLook w:val="04A0"/>
      </w:tblPr>
      <w:tblGrid>
        <w:gridCol w:w="1903"/>
        <w:gridCol w:w="1734"/>
        <w:gridCol w:w="1995"/>
        <w:gridCol w:w="1987"/>
        <w:gridCol w:w="1952"/>
      </w:tblGrid>
      <w:tr w:rsidR="00210C30" w:rsidRPr="00902FDF" w:rsidTr="005E302D">
        <w:trPr>
          <w:cnfStyle w:val="100000000000"/>
          <w:trHeight w:val="409"/>
        </w:trPr>
        <w:tc>
          <w:tcPr>
            <w:cnfStyle w:val="001000000000"/>
            <w:tcW w:w="1903" w:type="dxa"/>
          </w:tcPr>
          <w:p w:rsidR="00210C30" w:rsidRPr="00902FDF" w:rsidRDefault="00210C30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Класс</w:t>
            </w:r>
          </w:p>
        </w:tc>
        <w:tc>
          <w:tcPr>
            <w:tcW w:w="1734" w:type="dxa"/>
          </w:tcPr>
          <w:p w:rsidR="00210C30" w:rsidRPr="00902FDF" w:rsidRDefault="00210C30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Количество</w:t>
            </w:r>
          </w:p>
        </w:tc>
        <w:tc>
          <w:tcPr>
            <w:tcW w:w="1995" w:type="dxa"/>
          </w:tcPr>
          <w:p w:rsidR="00210C30" w:rsidRPr="00902FDF" w:rsidRDefault="00210C30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Высокий</w:t>
            </w:r>
          </w:p>
        </w:tc>
        <w:tc>
          <w:tcPr>
            <w:tcW w:w="1987" w:type="dxa"/>
          </w:tcPr>
          <w:p w:rsidR="00210C30" w:rsidRPr="00902FDF" w:rsidRDefault="00210C30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Средний</w:t>
            </w:r>
          </w:p>
        </w:tc>
        <w:tc>
          <w:tcPr>
            <w:tcW w:w="1952" w:type="dxa"/>
          </w:tcPr>
          <w:p w:rsidR="00210C30" w:rsidRPr="00902FDF" w:rsidRDefault="00210C30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Низкий</w:t>
            </w:r>
          </w:p>
        </w:tc>
      </w:tr>
      <w:tr w:rsidR="00210C30" w:rsidRPr="00902FDF" w:rsidTr="005E302D">
        <w:trPr>
          <w:cnfStyle w:val="000000100000"/>
          <w:trHeight w:val="126"/>
        </w:trPr>
        <w:tc>
          <w:tcPr>
            <w:cnfStyle w:val="001000000000"/>
            <w:tcW w:w="1903" w:type="dxa"/>
          </w:tcPr>
          <w:p w:rsidR="00210C30" w:rsidRPr="00902FDF" w:rsidRDefault="00210C30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210C30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5" w:type="dxa"/>
          </w:tcPr>
          <w:p w:rsidR="00210C30" w:rsidRPr="00902FDF" w:rsidRDefault="00210C30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210C30" w:rsidRPr="00902FDF" w:rsidRDefault="00210C30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210C30" w:rsidRPr="00902FDF" w:rsidRDefault="00210C30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40 %</w:t>
            </w:r>
          </w:p>
        </w:tc>
      </w:tr>
      <w:tr w:rsidR="00210C30" w:rsidRPr="00902FDF" w:rsidTr="005E302D">
        <w:trPr>
          <w:cnfStyle w:val="000000010000"/>
          <w:trHeight w:val="177"/>
        </w:trPr>
        <w:tc>
          <w:tcPr>
            <w:cnfStyle w:val="001000000000"/>
            <w:tcW w:w="1903" w:type="dxa"/>
          </w:tcPr>
          <w:p w:rsidR="00210C30" w:rsidRPr="00902FDF" w:rsidRDefault="00210C30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210C30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210C30" w:rsidRPr="00902FDF" w:rsidRDefault="00210C30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210C30" w:rsidRPr="00902FDF" w:rsidRDefault="00210C30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210C30" w:rsidRPr="00902FDF" w:rsidRDefault="00210C30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</w:tr>
      <w:tr w:rsidR="00210C30" w:rsidRPr="00902FDF" w:rsidTr="005E302D">
        <w:trPr>
          <w:cnfStyle w:val="000000100000"/>
          <w:trHeight w:val="74"/>
        </w:trPr>
        <w:tc>
          <w:tcPr>
            <w:cnfStyle w:val="001000000000"/>
            <w:tcW w:w="1903" w:type="dxa"/>
          </w:tcPr>
          <w:p w:rsidR="00210C30" w:rsidRPr="00902FDF" w:rsidRDefault="00210C30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3</w:t>
            </w:r>
          </w:p>
        </w:tc>
        <w:tc>
          <w:tcPr>
            <w:tcW w:w="1734" w:type="dxa"/>
          </w:tcPr>
          <w:p w:rsidR="00210C30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210C30" w:rsidRPr="00902FDF" w:rsidRDefault="00210C30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210C30" w:rsidRPr="00902FDF" w:rsidRDefault="00210C30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210C30" w:rsidRPr="00902FDF" w:rsidRDefault="00210C30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 w:rsidRPr="00902FD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210C30" w:rsidRPr="00902FDF" w:rsidTr="005E302D">
        <w:trPr>
          <w:cnfStyle w:val="000000010000"/>
          <w:trHeight w:val="74"/>
        </w:trPr>
        <w:tc>
          <w:tcPr>
            <w:cnfStyle w:val="001000000000"/>
            <w:tcW w:w="1903" w:type="dxa"/>
          </w:tcPr>
          <w:p w:rsidR="00210C30" w:rsidRPr="00902FDF" w:rsidRDefault="00210C30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210C30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</w:tcPr>
          <w:p w:rsidR="00210C30" w:rsidRPr="00902FDF" w:rsidRDefault="00210C30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210C30" w:rsidRPr="00902FDF" w:rsidRDefault="00210C30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210C30" w:rsidRPr="00902FDF" w:rsidRDefault="00210C30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</w:tr>
    </w:tbl>
    <w:p w:rsidR="003954AE" w:rsidRPr="00210C30" w:rsidRDefault="003954AE" w:rsidP="000248F7">
      <w:pPr>
        <w:pStyle w:val="a3"/>
        <w:jc w:val="both"/>
        <w:rPr>
          <w:b/>
        </w:rPr>
      </w:pPr>
    </w:p>
    <w:p w:rsidR="003954AE" w:rsidRDefault="00210C30" w:rsidP="000248F7">
      <w:pPr>
        <w:pStyle w:val="a3"/>
        <w:jc w:val="both"/>
      </w:pPr>
      <w:r w:rsidRPr="00210C30">
        <w:rPr>
          <w:noProof/>
        </w:rPr>
        <w:drawing>
          <wp:inline distT="0" distB="0" distL="0" distR="0">
            <wp:extent cx="4505325" cy="2009775"/>
            <wp:effectExtent l="0" t="0" r="9525" b="9525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546D1" w:rsidRPr="005546D1" w:rsidRDefault="005546D1" w:rsidP="005546D1">
      <w:pPr>
        <w:ind w:firstLine="540"/>
        <w:jc w:val="both"/>
      </w:pPr>
      <w:r>
        <w:t xml:space="preserve">Большинство </w:t>
      </w:r>
      <w:r w:rsidR="00043699">
        <w:t>об</w:t>
      </w:r>
      <w:r>
        <w:t>уча</w:t>
      </w:r>
      <w:r w:rsidR="00043699">
        <w:t>ю</w:t>
      </w:r>
      <w:r>
        <w:t>щихся начальной школы имеют адекватный</w:t>
      </w:r>
      <w:r w:rsidRPr="005546D1">
        <w:t xml:space="preserve"> уровень развития коммуникативных </w:t>
      </w:r>
      <w:r>
        <w:t>универсальных учебных действий</w:t>
      </w:r>
      <w:r w:rsidRPr="005546D1">
        <w:t xml:space="preserve">. </w:t>
      </w:r>
    </w:p>
    <w:p w:rsidR="005546D1" w:rsidRPr="005546D1" w:rsidRDefault="005546D1" w:rsidP="005546D1">
      <w:pPr>
        <w:jc w:val="both"/>
        <w:rPr>
          <w:b/>
        </w:rPr>
      </w:pPr>
      <w:r w:rsidRPr="005546D1">
        <w:t xml:space="preserve">    Все учебные предметы начальной школы имеют потенциальные предпосылки для развития коммуникативных и речевых умений. Для дальнейшего развития коммуникативных учебных действий учителям  </w:t>
      </w:r>
      <w:r w:rsidRPr="005546D1">
        <w:rPr>
          <w:b/>
          <w:i/>
        </w:rPr>
        <w:t>рекомендовано:</w:t>
      </w:r>
      <w:r w:rsidRPr="005546D1">
        <w:t xml:space="preserve">  обратить внимание на организацию отдельных учебных заданий совместного типа, специфика которых естественным образом предполагает активное взаимодействие учеников, сотрудничество, обмен информацией, обсуждение разных точек</w:t>
      </w:r>
      <w:r w:rsidR="00FA7E42">
        <w:t xml:space="preserve"> зрения. Благоприятный конте</w:t>
      </w:r>
      <w:proofErr w:type="gramStart"/>
      <w:r w:rsidR="00FA7E42">
        <w:t xml:space="preserve">кст </w:t>
      </w:r>
      <w:r w:rsidRPr="005546D1">
        <w:t>дл</w:t>
      </w:r>
      <w:proofErr w:type="gramEnd"/>
      <w:r w:rsidRPr="005546D1">
        <w:t>я формирования данных действий представляют такие учебные предметы, как «Технология», «Литературное чтение»</w:t>
      </w:r>
      <w:r w:rsidRPr="005546D1">
        <w:rPr>
          <w:b/>
        </w:rPr>
        <w:t>.</w:t>
      </w:r>
    </w:p>
    <w:p w:rsidR="00210C30" w:rsidRPr="000248F7" w:rsidRDefault="00210C30" w:rsidP="000248F7">
      <w:pPr>
        <w:pStyle w:val="a3"/>
        <w:jc w:val="both"/>
      </w:pPr>
    </w:p>
    <w:p w:rsidR="005546D1" w:rsidRDefault="003954AE" w:rsidP="005546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546D1">
        <w:rPr>
          <w:b/>
        </w:rPr>
        <w:t>Личностные УУД</w:t>
      </w:r>
      <w:r w:rsidR="005546D1" w:rsidRPr="005546D1">
        <w:t xml:space="preserve"> позволяют сделать учение осмысленным, обеспечивают ученику значимость решения учебных задач, связывая их с реальными жизненными целями и ситуациями. Личностные действия направлены на осознание, исследование и принятие жизненных ценностей и смыслов, позволяют сориентироваться в нравственных нормах, правилах, оценках, выработать свою</w:t>
      </w:r>
      <w:r w:rsidR="005546D1">
        <w:rPr>
          <w:sz w:val="28"/>
          <w:szCs w:val="28"/>
        </w:rPr>
        <w:t xml:space="preserve"> </w:t>
      </w:r>
      <w:r w:rsidR="005546D1" w:rsidRPr="005546D1">
        <w:t>позицию в отношении окружающих людей, самого себя и своего будущего.</w:t>
      </w:r>
    </w:p>
    <w:p w:rsidR="005546D1" w:rsidRPr="00902FDF" w:rsidRDefault="005546D1" w:rsidP="005546D1">
      <w:pPr>
        <w:jc w:val="center"/>
      </w:pPr>
      <w:r>
        <w:t>Результаты диагностики</w:t>
      </w:r>
      <w:r w:rsidRPr="00902FDF">
        <w:t xml:space="preserve"> уровня </w:t>
      </w:r>
      <w:proofErr w:type="spellStart"/>
      <w:r w:rsidRPr="00902FDF">
        <w:t>сформированности</w:t>
      </w:r>
      <w:proofErr w:type="spellEnd"/>
      <w:r>
        <w:t xml:space="preserve"> </w:t>
      </w:r>
      <w:proofErr w:type="gramStart"/>
      <w:r>
        <w:t>личностных</w:t>
      </w:r>
      <w:proofErr w:type="gramEnd"/>
      <w:r>
        <w:t xml:space="preserve"> </w:t>
      </w:r>
      <w:r w:rsidRPr="00902FDF">
        <w:t>УУД</w:t>
      </w:r>
    </w:p>
    <w:tbl>
      <w:tblPr>
        <w:tblStyle w:val="-11"/>
        <w:tblW w:w="0" w:type="auto"/>
        <w:tblLook w:val="04A0"/>
      </w:tblPr>
      <w:tblGrid>
        <w:gridCol w:w="1903"/>
        <w:gridCol w:w="1734"/>
        <w:gridCol w:w="1995"/>
        <w:gridCol w:w="1987"/>
        <w:gridCol w:w="1952"/>
      </w:tblGrid>
      <w:tr w:rsidR="005546D1" w:rsidRPr="00902FDF" w:rsidTr="005E302D">
        <w:trPr>
          <w:cnfStyle w:val="100000000000"/>
          <w:trHeight w:val="409"/>
        </w:trPr>
        <w:tc>
          <w:tcPr>
            <w:cnfStyle w:val="001000000000"/>
            <w:tcW w:w="1903" w:type="dxa"/>
          </w:tcPr>
          <w:p w:rsidR="005546D1" w:rsidRPr="00902FDF" w:rsidRDefault="005546D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Класс</w:t>
            </w:r>
          </w:p>
        </w:tc>
        <w:tc>
          <w:tcPr>
            <w:tcW w:w="1734" w:type="dxa"/>
          </w:tcPr>
          <w:p w:rsidR="005546D1" w:rsidRPr="00902FDF" w:rsidRDefault="005546D1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Количество</w:t>
            </w:r>
          </w:p>
        </w:tc>
        <w:tc>
          <w:tcPr>
            <w:tcW w:w="1995" w:type="dxa"/>
          </w:tcPr>
          <w:p w:rsidR="005546D1" w:rsidRPr="00902FDF" w:rsidRDefault="005546D1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Высокий</w:t>
            </w:r>
          </w:p>
        </w:tc>
        <w:tc>
          <w:tcPr>
            <w:tcW w:w="1987" w:type="dxa"/>
          </w:tcPr>
          <w:p w:rsidR="005546D1" w:rsidRPr="00902FDF" w:rsidRDefault="005546D1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Средний</w:t>
            </w:r>
          </w:p>
        </w:tc>
        <w:tc>
          <w:tcPr>
            <w:tcW w:w="1952" w:type="dxa"/>
          </w:tcPr>
          <w:p w:rsidR="005546D1" w:rsidRPr="00902FDF" w:rsidRDefault="005546D1" w:rsidP="005E302D">
            <w:pPr>
              <w:jc w:val="center"/>
              <w:cnfStyle w:val="100000000000"/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Низкий</w:t>
            </w:r>
          </w:p>
        </w:tc>
      </w:tr>
      <w:tr w:rsidR="00ED02B1" w:rsidRPr="00902FDF" w:rsidTr="005E302D">
        <w:trPr>
          <w:cnfStyle w:val="000000100000"/>
          <w:trHeight w:val="126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80 %</w:t>
            </w:r>
          </w:p>
        </w:tc>
      </w:tr>
      <w:tr w:rsidR="00ED02B1" w:rsidRPr="00902FDF" w:rsidTr="005E302D">
        <w:trPr>
          <w:cnfStyle w:val="000000010000"/>
          <w:trHeight w:val="177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2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</w:tr>
      <w:tr w:rsidR="00ED02B1" w:rsidRPr="00902FDF" w:rsidTr="005E302D">
        <w:trPr>
          <w:cnfStyle w:val="000000100000"/>
          <w:trHeight w:val="74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3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902FDF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  <w:tr w:rsidR="00ED02B1" w:rsidRPr="00902FDF" w:rsidTr="005E302D">
        <w:trPr>
          <w:cnfStyle w:val="000000010000"/>
          <w:trHeight w:val="74"/>
        </w:trPr>
        <w:tc>
          <w:tcPr>
            <w:cnfStyle w:val="001000000000"/>
            <w:tcW w:w="1903" w:type="dxa"/>
          </w:tcPr>
          <w:p w:rsidR="00ED02B1" w:rsidRPr="00902FDF" w:rsidRDefault="00ED02B1" w:rsidP="005E302D">
            <w:pPr>
              <w:rPr>
                <w:sz w:val="24"/>
                <w:szCs w:val="24"/>
              </w:rPr>
            </w:pPr>
            <w:r w:rsidRPr="00902FDF">
              <w:rPr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ED02B1" w:rsidRPr="00902FDF" w:rsidRDefault="00ED02B1" w:rsidP="006F011A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95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87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952" w:type="dxa"/>
          </w:tcPr>
          <w:p w:rsidR="00ED02B1" w:rsidRPr="00902FDF" w:rsidRDefault="00ED02B1" w:rsidP="005E302D">
            <w:pPr>
              <w:jc w:val="center"/>
              <w:cnfStyle w:val="000000010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902FDF">
              <w:rPr>
                <w:color w:val="000000"/>
                <w:sz w:val="24"/>
                <w:szCs w:val="24"/>
              </w:rPr>
              <w:t>%</w:t>
            </w:r>
          </w:p>
        </w:tc>
      </w:tr>
    </w:tbl>
    <w:p w:rsidR="003954AE" w:rsidRPr="005546D1" w:rsidRDefault="003954AE" w:rsidP="000248F7">
      <w:pPr>
        <w:pStyle w:val="a3"/>
        <w:jc w:val="both"/>
        <w:rPr>
          <w:b/>
        </w:rPr>
      </w:pPr>
    </w:p>
    <w:p w:rsidR="005546D1" w:rsidRDefault="005546D1" w:rsidP="000248F7">
      <w:pPr>
        <w:pStyle w:val="a3"/>
        <w:jc w:val="both"/>
      </w:pPr>
      <w:r w:rsidRPr="005546D1">
        <w:rPr>
          <w:noProof/>
        </w:rPr>
        <w:drawing>
          <wp:inline distT="0" distB="0" distL="0" distR="0">
            <wp:extent cx="4505325" cy="2009775"/>
            <wp:effectExtent l="0" t="0" r="9525" b="9525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46D1" w:rsidRDefault="005546D1" w:rsidP="000248F7">
      <w:pPr>
        <w:pStyle w:val="a3"/>
        <w:jc w:val="both"/>
      </w:pPr>
    </w:p>
    <w:p w:rsidR="005546D1" w:rsidRDefault="005546D1" w:rsidP="000248F7">
      <w:pPr>
        <w:pStyle w:val="a3"/>
        <w:jc w:val="both"/>
      </w:pPr>
    </w:p>
    <w:p w:rsidR="00FA7E42" w:rsidRDefault="005D1775" w:rsidP="00FA7E42">
      <w:pPr>
        <w:pStyle w:val="a3"/>
        <w:jc w:val="both"/>
      </w:pPr>
      <w:r>
        <w:t xml:space="preserve">     </w:t>
      </w:r>
      <w:r w:rsidR="00FA7E42" w:rsidRPr="0079201C">
        <w:t>Таким образом</w:t>
      </w:r>
      <w:r>
        <w:t>, у 27%</w:t>
      </w:r>
      <w:r w:rsidR="00FA7E42">
        <w:t xml:space="preserve"> обучающихся </w:t>
      </w:r>
      <w:r>
        <w:t>1</w:t>
      </w:r>
      <w:r w:rsidR="00ED02B1">
        <w:t>-4 классов по итогам 2019</w:t>
      </w:r>
      <w:r w:rsidR="00FA7E42">
        <w:t>-</w:t>
      </w:r>
      <w:r w:rsidR="00ED02B1">
        <w:t>2020учебно</w:t>
      </w:r>
      <w:r w:rsidR="00FA7E42" w:rsidRPr="0079201C">
        <w:t>г</w:t>
      </w:r>
      <w:r w:rsidR="00ED02B1">
        <w:t>о</w:t>
      </w:r>
      <w:r w:rsidR="00FA7E42" w:rsidRPr="0079201C">
        <w:t xml:space="preserve"> года сформирована внутренняя позиция школьника. У этих обучающихся достаточно выражена познавательная активность, и они ответственно относятся к школьным обязанностям. У  </w:t>
      </w:r>
      <w:r>
        <w:t>42</w:t>
      </w:r>
      <w:r w:rsidR="00FA7E42" w:rsidRPr="0079201C">
        <w:t xml:space="preserve">% детей внутренняя позиция школьника сформирована частично. Они эмоционально положительно относятся к школе, к своему новому статусу, но ориентируются на </w:t>
      </w:r>
      <w:proofErr w:type="spellStart"/>
      <w:r w:rsidR="00FA7E42" w:rsidRPr="0079201C">
        <w:t>внеучебные</w:t>
      </w:r>
      <w:proofErr w:type="spellEnd"/>
      <w:r w:rsidR="00FA7E42" w:rsidRPr="0079201C">
        <w:t xml:space="preserve"> стороны школьной жизни – новые знакомства, игры, прогулки и т.д. </w:t>
      </w:r>
    </w:p>
    <w:p w:rsidR="00FA7E42" w:rsidRPr="0079201C" w:rsidRDefault="005D1775" w:rsidP="00FA7E42">
      <w:pPr>
        <w:pStyle w:val="a3"/>
        <w:jc w:val="both"/>
      </w:pPr>
      <w:r>
        <w:t xml:space="preserve">      </w:t>
      </w:r>
      <w:proofErr w:type="gramStart"/>
      <w:r w:rsidR="00FA7E42" w:rsidRPr="0079201C">
        <w:t xml:space="preserve">По данным, полученным в результате исследования данного параметра,  можно сделать </w:t>
      </w:r>
      <w:r w:rsidR="00FA7E42" w:rsidRPr="0079201C">
        <w:rPr>
          <w:b/>
          <w:i/>
        </w:rPr>
        <w:t>вывод,</w:t>
      </w:r>
      <w:r w:rsidR="00FA7E42" w:rsidRPr="0079201C">
        <w:t xml:space="preserve"> что если учитель построит работу с обучающимися  в </w:t>
      </w:r>
      <w:proofErr w:type="spellStart"/>
      <w:r w:rsidR="00FA7E42" w:rsidRPr="0079201C">
        <w:t>деятельностной</w:t>
      </w:r>
      <w:proofErr w:type="spellEnd"/>
      <w:r w:rsidR="00FA7E42" w:rsidRPr="0079201C">
        <w:t xml:space="preserve"> парадигме, то можно будет ожидать высокого уровня </w:t>
      </w:r>
      <w:proofErr w:type="spellStart"/>
      <w:r w:rsidR="00FA7E42" w:rsidRPr="0079201C">
        <w:t>сформированности</w:t>
      </w:r>
      <w:proofErr w:type="spellEnd"/>
      <w:r w:rsidR="00FA7E42" w:rsidRPr="0079201C">
        <w:t xml:space="preserve"> и </w:t>
      </w:r>
      <w:proofErr w:type="spellStart"/>
      <w:r w:rsidR="00FA7E42" w:rsidRPr="0079201C">
        <w:t>ЗУНов</w:t>
      </w:r>
      <w:proofErr w:type="spellEnd"/>
      <w:r w:rsidR="00FA7E42" w:rsidRPr="0079201C">
        <w:t xml:space="preserve">, и УУД. </w:t>
      </w:r>
      <w:proofErr w:type="gramEnd"/>
    </w:p>
    <w:p w:rsidR="00FA7E42" w:rsidRPr="005D1775" w:rsidRDefault="005D1775" w:rsidP="00FA7E42">
      <w:pPr>
        <w:pStyle w:val="a3"/>
        <w:jc w:val="both"/>
      </w:pPr>
      <w:r>
        <w:t xml:space="preserve">      </w:t>
      </w:r>
      <w:r w:rsidR="00FA7E42" w:rsidRPr="0079201C">
        <w:t xml:space="preserve">Согласно полученным данным у </w:t>
      </w:r>
      <w:r>
        <w:t>31</w:t>
      </w:r>
      <w:r w:rsidR="00FA7E42" w:rsidRPr="0079201C">
        <w:t>% детей внутренняя позиция школьника еще не сформирована, что находит отражение в предпочтении игровой деятельности. Непринятие нового социального статуса, незрелость школьной мотивации значительно осложняет ход нормативного возрастного развития в младшем школьном возрасте и адаптацию к школе.</w:t>
      </w:r>
      <w:r>
        <w:t xml:space="preserve"> </w:t>
      </w:r>
      <w:proofErr w:type="gramStart"/>
      <w:r>
        <w:t xml:space="preserve">Низкие </w:t>
      </w:r>
      <w:r w:rsidR="00FA7E42" w:rsidRPr="0079201C">
        <w:t xml:space="preserve"> </w:t>
      </w:r>
      <w:r>
        <w:t xml:space="preserve">результаты </w:t>
      </w:r>
      <w:proofErr w:type="spellStart"/>
      <w:r>
        <w:t>сформированности</w:t>
      </w:r>
      <w:proofErr w:type="spellEnd"/>
      <w:r>
        <w:t xml:space="preserve"> личностных УУД отмечаются, в основном,  у учащихся 1 и 2 класса.</w:t>
      </w:r>
      <w:proofErr w:type="gramEnd"/>
      <w:r>
        <w:t xml:space="preserve"> Поэтому классным руководителям данных классов </w:t>
      </w:r>
      <w:r w:rsidRPr="005D1775">
        <w:rPr>
          <w:rFonts w:ascii="Arial Narrow" w:hAnsi="Arial Narrow"/>
          <w:b/>
          <w:i/>
        </w:rPr>
        <w:t xml:space="preserve"> </w:t>
      </w:r>
      <w:r>
        <w:rPr>
          <w:b/>
          <w:i/>
        </w:rPr>
        <w:t>р</w:t>
      </w:r>
      <w:r w:rsidRPr="005D1775">
        <w:rPr>
          <w:b/>
          <w:i/>
        </w:rPr>
        <w:t>екомендована</w:t>
      </w:r>
      <w:r w:rsidRPr="005D1775">
        <w:t xml:space="preserve"> серьезная работа по коррекции ситуации для недопущения проблем в  дальнейшей школьной жизни ребенка</w:t>
      </w:r>
      <w:r>
        <w:t xml:space="preserve">. </w:t>
      </w:r>
    </w:p>
    <w:p w:rsidR="003954AE" w:rsidRPr="005D1775" w:rsidRDefault="003954AE" w:rsidP="005D1775">
      <w:pPr>
        <w:pStyle w:val="a3"/>
        <w:jc w:val="center"/>
        <w:rPr>
          <w:b/>
        </w:rPr>
      </w:pPr>
      <w:r w:rsidRPr="005D1775">
        <w:rPr>
          <w:b/>
        </w:rPr>
        <w:t>Заключение.</w:t>
      </w:r>
    </w:p>
    <w:p w:rsidR="003954AE" w:rsidRPr="000248F7" w:rsidRDefault="005D1775" w:rsidP="000248F7">
      <w:pPr>
        <w:pStyle w:val="a3"/>
        <w:jc w:val="both"/>
      </w:pPr>
      <w:r>
        <w:t xml:space="preserve">        </w:t>
      </w:r>
      <w:r w:rsidR="003954AE" w:rsidRPr="000248F7">
        <w:t>В основе формирования метапредметных результатов лежит «умение учиться», которое предполагает полноценное освоение всех компонентов учебной деятельности (познавательные и учебные мотивы; учебная цель; учебная задача; учебные действия и операции) и выступает существенным фактором повышения эффективности освоения учащимися предметных знаний, умений и формирования компетенций, образа мира и</w:t>
      </w:r>
      <w:r>
        <w:t xml:space="preserve"> </w:t>
      </w:r>
      <w:r w:rsidR="003954AE" w:rsidRPr="000248F7">
        <w:t>ценностно-смысловых оснований личностного морального выбора. 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3954AE" w:rsidRPr="000248F7" w:rsidRDefault="005D1775" w:rsidP="000248F7">
      <w:pPr>
        <w:pStyle w:val="a3"/>
        <w:jc w:val="both"/>
      </w:pPr>
      <w:r>
        <w:t xml:space="preserve">        </w:t>
      </w:r>
      <w:r w:rsidR="003954AE" w:rsidRPr="000248F7">
        <w:t>Система оценки метапредметных результатов в составе личностных, регулятивных, познавательных и коммуникативных действий, определяющих развитие психологических способностей личности, осуществлялась в рамках нормативно - возрастного развития личностной и познавательной сфер ребёнка.</w:t>
      </w:r>
    </w:p>
    <w:p w:rsidR="003954AE" w:rsidRPr="000248F7" w:rsidRDefault="005D1775" w:rsidP="000248F7">
      <w:pPr>
        <w:pStyle w:val="a3"/>
        <w:jc w:val="both"/>
        <w:rPr>
          <w:i/>
          <w:iCs/>
        </w:rPr>
      </w:pPr>
      <w:r>
        <w:t xml:space="preserve">         </w:t>
      </w:r>
      <w:r w:rsidR="003954AE" w:rsidRPr="000248F7">
        <w:t>Оценка метапредметных результатов проводилась в ходе различных процедур</w:t>
      </w:r>
      <w:r w:rsidR="003954AE" w:rsidRPr="000248F7">
        <w:rPr>
          <w:i/>
          <w:iCs/>
        </w:rPr>
        <w:t>.</w:t>
      </w:r>
    </w:p>
    <w:p w:rsidR="003954AE" w:rsidRPr="000248F7" w:rsidRDefault="003954AE" w:rsidP="000248F7">
      <w:pPr>
        <w:pStyle w:val="a3"/>
        <w:jc w:val="both"/>
      </w:pPr>
      <w:r w:rsidRPr="000248F7">
        <w:t xml:space="preserve">В результате </w:t>
      </w:r>
      <w:proofErr w:type="spellStart"/>
      <w:r w:rsidRPr="000248F7">
        <w:t>мониторига</w:t>
      </w:r>
      <w:proofErr w:type="spellEnd"/>
      <w:r w:rsidRPr="000248F7">
        <w:t xml:space="preserve"> были решены следующие задачи:</w:t>
      </w:r>
    </w:p>
    <w:p w:rsidR="003954AE" w:rsidRPr="000248F7" w:rsidRDefault="003954AE" w:rsidP="000248F7">
      <w:pPr>
        <w:pStyle w:val="a3"/>
        <w:jc w:val="both"/>
      </w:pPr>
      <w:r w:rsidRPr="000248F7">
        <w:t xml:space="preserve">1.Определен уровень </w:t>
      </w:r>
      <w:proofErr w:type="spellStart"/>
      <w:r w:rsidRPr="000248F7">
        <w:t>сформированности</w:t>
      </w:r>
      <w:proofErr w:type="spellEnd"/>
      <w:r w:rsidRPr="000248F7">
        <w:t xml:space="preserve"> метапредметных УУД каждого ученика;</w:t>
      </w:r>
    </w:p>
    <w:p w:rsidR="003954AE" w:rsidRPr="000248F7" w:rsidRDefault="003954AE" w:rsidP="000248F7">
      <w:pPr>
        <w:pStyle w:val="a3"/>
        <w:jc w:val="both"/>
      </w:pPr>
      <w:r w:rsidRPr="000248F7">
        <w:t>2.Определены проблемные зоны в решении задач образования учащихся и</w:t>
      </w:r>
      <w:r w:rsidR="005D1775">
        <w:t xml:space="preserve"> </w:t>
      </w:r>
      <w:r w:rsidRPr="000248F7">
        <w:t>определение возможных путей их ликвидации;</w:t>
      </w:r>
    </w:p>
    <w:p w:rsidR="003954AE" w:rsidRPr="000248F7" w:rsidRDefault="003954AE" w:rsidP="000248F7">
      <w:pPr>
        <w:pStyle w:val="a3"/>
        <w:jc w:val="both"/>
        <w:rPr>
          <w:i/>
        </w:rPr>
      </w:pPr>
      <w:r w:rsidRPr="000248F7">
        <w:t>3</w:t>
      </w:r>
      <w:r w:rsidRPr="000248F7">
        <w:rPr>
          <w:i/>
        </w:rPr>
        <w:t>. Разработана стратегия помощи учащимся, испытывающим трудности в</w:t>
      </w:r>
      <w:r w:rsidR="005D1775">
        <w:rPr>
          <w:i/>
        </w:rPr>
        <w:t xml:space="preserve"> </w:t>
      </w:r>
      <w:r w:rsidRPr="000248F7">
        <w:rPr>
          <w:i/>
        </w:rPr>
        <w:t>формировании тех или иных метапредметных УУД;</w:t>
      </w:r>
    </w:p>
    <w:p w:rsidR="003954AE" w:rsidRPr="00157475" w:rsidRDefault="00157475" w:rsidP="000248F7">
      <w:pPr>
        <w:pStyle w:val="a3"/>
        <w:jc w:val="both"/>
        <w:rPr>
          <w:iCs/>
        </w:rPr>
      </w:pPr>
      <w:r>
        <w:rPr>
          <w:b/>
        </w:rPr>
        <w:t xml:space="preserve">        </w:t>
      </w:r>
      <w:r w:rsidRPr="00157475">
        <w:rPr>
          <w:b/>
        </w:rPr>
        <w:t xml:space="preserve">Таким образом, можно сделать вывод, что </w:t>
      </w:r>
      <w:r>
        <w:rPr>
          <w:b/>
        </w:rPr>
        <w:t>61</w:t>
      </w:r>
      <w:r w:rsidRPr="00157475">
        <w:rPr>
          <w:b/>
        </w:rPr>
        <w:t xml:space="preserve">% имеют достаточно хороший уровень  развития </w:t>
      </w:r>
      <w:r>
        <w:rPr>
          <w:b/>
        </w:rPr>
        <w:t xml:space="preserve">регулятивных действий; 62% -познавательных действий, 84%-коммуникативных и </w:t>
      </w:r>
      <w:r w:rsidR="00003FA4">
        <w:rPr>
          <w:b/>
        </w:rPr>
        <w:t xml:space="preserve">69% - личностных УУД, </w:t>
      </w:r>
      <w:r w:rsidRPr="00157475">
        <w:rPr>
          <w:b/>
        </w:rPr>
        <w:t>что является дальнейшей основой для формирования УУД.</w:t>
      </w:r>
      <w:r w:rsidR="00003FA4">
        <w:rPr>
          <w:b/>
        </w:rPr>
        <w:t xml:space="preserve"> Однако следует активно усилить работу педагогов и школьного психолога </w:t>
      </w:r>
      <w:proofErr w:type="spellStart"/>
      <w:r w:rsidR="00003FA4">
        <w:rPr>
          <w:b/>
        </w:rPr>
        <w:t>повыравниванию</w:t>
      </w:r>
      <w:proofErr w:type="spellEnd"/>
      <w:r w:rsidR="00003FA4">
        <w:rPr>
          <w:b/>
        </w:rPr>
        <w:t xml:space="preserve"> адекватной траектории развития личностных и метапредметных УУД у учащихся 1 и 2 классов. </w:t>
      </w:r>
    </w:p>
    <w:p w:rsidR="00003FA4" w:rsidRDefault="00003FA4" w:rsidP="000248F7">
      <w:pPr>
        <w:pStyle w:val="a3"/>
        <w:jc w:val="both"/>
        <w:rPr>
          <w:b/>
          <w:iCs/>
        </w:rPr>
      </w:pPr>
    </w:p>
    <w:p w:rsidR="003954AE" w:rsidRPr="00157475" w:rsidRDefault="003954AE" w:rsidP="000248F7">
      <w:pPr>
        <w:pStyle w:val="a3"/>
        <w:jc w:val="both"/>
        <w:rPr>
          <w:b/>
          <w:iCs/>
        </w:rPr>
      </w:pPr>
      <w:r w:rsidRPr="00157475">
        <w:rPr>
          <w:b/>
          <w:iCs/>
        </w:rPr>
        <w:t>Рекомендации:</w:t>
      </w:r>
    </w:p>
    <w:p w:rsidR="00003FA4" w:rsidRPr="00003FA4" w:rsidRDefault="00003FA4" w:rsidP="00003FA4">
      <w:pPr>
        <w:pStyle w:val="a3"/>
        <w:jc w:val="both"/>
      </w:pPr>
      <w:r>
        <w:t xml:space="preserve">      </w:t>
      </w:r>
      <w:r w:rsidRPr="00003FA4">
        <w:t xml:space="preserve">В целях повышения уровня </w:t>
      </w:r>
      <w:proofErr w:type="spellStart"/>
      <w:r w:rsidRPr="00003FA4">
        <w:t>сформированности</w:t>
      </w:r>
      <w:proofErr w:type="spellEnd"/>
      <w:r w:rsidRPr="00003FA4">
        <w:t xml:space="preserve">  </w:t>
      </w:r>
      <w:r w:rsidRPr="00003FA4">
        <w:rPr>
          <w:b/>
        </w:rPr>
        <w:t xml:space="preserve">регулятивных </w:t>
      </w:r>
      <w:r w:rsidRPr="00003FA4">
        <w:t>универсальных учебных действий у младших школьников в ОУ школы учителям начальных классов рекомендуется:</w:t>
      </w:r>
    </w:p>
    <w:p w:rsidR="00003FA4" w:rsidRPr="00003FA4" w:rsidRDefault="00003FA4" w:rsidP="00003FA4">
      <w:pPr>
        <w:pStyle w:val="a3"/>
        <w:jc w:val="both"/>
      </w:pPr>
      <w:r>
        <w:t xml:space="preserve">- </w:t>
      </w:r>
      <w:r w:rsidRPr="00003FA4">
        <w:t>Продолжать работу по формированию и развитию у обучающихся регулятивных универсальных учебных действий: привлекать к проектно-исследовательской деятельности, в групповых формах работы чаще предлагать роль эксперта и т. п.</w:t>
      </w:r>
    </w:p>
    <w:p w:rsidR="00003FA4" w:rsidRPr="00003FA4" w:rsidRDefault="00003FA4" w:rsidP="00003FA4">
      <w:pPr>
        <w:pStyle w:val="a3"/>
        <w:jc w:val="both"/>
      </w:pPr>
      <w:r>
        <w:t xml:space="preserve">- </w:t>
      </w:r>
      <w:r w:rsidRPr="00003FA4">
        <w:rPr>
          <w:sz w:val="14"/>
          <w:szCs w:val="14"/>
        </w:rPr>
        <w:t xml:space="preserve"> </w:t>
      </w:r>
      <w:r w:rsidRPr="00003FA4">
        <w:t>Формировать произвольность учебной деятельности через постановку цели, составление плана, обращение к алгоритмам выполнения учебных действий и т. д.</w:t>
      </w:r>
    </w:p>
    <w:p w:rsidR="00003FA4" w:rsidRPr="00003FA4" w:rsidRDefault="00003FA4" w:rsidP="00003FA4">
      <w:pPr>
        <w:pStyle w:val="a3"/>
        <w:jc w:val="both"/>
      </w:pPr>
      <w:r>
        <w:t xml:space="preserve">- </w:t>
      </w:r>
      <w:r w:rsidRPr="00003FA4">
        <w:rPr>
          <w:sz w:val="14"/>
          <w:szCs w:val="14"/>
        </w:rPr>
        <w:t xml:space="preserve"> </w:t>
      </w:r>
      <w:r w:rsidRPr="00003FA4">
        <w:t>Разработать индивидуальные маршруты по формированию УУД в соответствии с выявленными проблемами на последующих этапах обучения.</w:t>
      </w:r>
    </w:p>
    <w:p w:rsidR="00003FA4" w:rsidRDefault="00003FA4" w:rsidP="00003FA4">
      <w:pPr>
        <w:pStyle w:val="a3"/>
      </w:pPr>
    </w:p>
    <w:p w:rsidR="00003FA4" w:rsidRDefault="00003FA4" w:rsidP="00003FA4">
      <w:pPr>
        <w:pStyle w:val="a3"/>
        <w:jc w:val="both"/>
        <w:rPr>
          <w:rFonts w:ascii="Arial" w:hAnsi="Arial" w:cs="Arial"/>
        </w:rPr>
      </w:pPr>
      <w:r>
        <w:lastRenderedPageBreak/>
        <w:t xml:space="preserve">      </w:t>
      </w:r>
      <w:r w:rsidRPr="009A5864">
        <w:t xml:space="preserve">Для дальнейшего развития </w:t>
      </w:r>
      <w:proofErr w:type="gramStart"/>
      <w:r w:rsidRPr="00003FA4">
        <w:rPr>
          <w:b/>
        </w:rPr>
        <w:t>коммуникативных</w:t>
      </w:r>
      <w:proofErr w:type="gramEnd"/>
      <w:r w:rsidRPr="009A5864">
        <w:t xml:space="preserve"> УУД у обучающихся педагогам рекомендуется:</w:t>
      </w:r>
    </w:p>
    <w:p w:rsidR="00003FA4" w:rsidRDefault="00003FA4" w:rsidP="00003FA4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A5864">
        <w:rPr>
          <w:sz w:val="14"/>
          <w:szCs w:val="14"/>
        </w:rPr>
        <w:t xml:space="preserve"> </w:t>
      </w:r>
      <w:r w:rsidRPr="009A5864">
        <w:t>формировать навыки позитивного общения, используя групповые формы работы на уроках, положительное одобрение за результат со стороны взрослых.</w:t>
      </w:r>
    </w:p>
    <w:p w:rsidR="00003FA4" w:rsidRDefault="00003FA4" w:rsidP="00003FA4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A5864">
        <w:rPr>
          <w:sz w:val="14"/>
          <w:szCs w:val="14"/>
        </w:rPr>
        <w:t xml:space="preserve"> </w:t>
      </w:r>
      <w:r w:rsidRPr="009A5864">
        <w:t xml:space="preserve">Проводить </w:t>
      </w:r>
      <w:proofErr w:type="spellStart"/>
      <w:r w:rsidRPr="009A5864">
        <w:t>коррекционно</w:t>
      </w:r>
      <w:proofErr w:type="spellEnd"/>
      <w:r w:rsidRPr="009A5864">
        <w:t xml:space="preserve"> - развивающую работу с </w:t>
      </w:r>
      <w:proofErr w:type="gramStart"/>
      <w:r w:rsidRPr="009A5864">
        <w:t>обучающимися</w:t>
      </w:r>
      <w:proofErr w:type="gramEnd"/>
      <w:r w:rsidRPr="009A5864">
        <w:t xml:space="preserve">, которые имеют низкий уровень </w:t>
      </w:r>
      <w:proofErr w:type="spellStart"/>
      <w:r w:rsidRPr="009A5864">
        <w:t>сформированности</w:t>
      </w:r>
      <w:proofErr w:type="spellEnd"/>
      <w:r w:rsidRPr="009A5864">
        <w:t>  предпосылок УУД.</w:t>
      </w:r>
    </w:p>
    <w:p w:rsidR="00003FA4" w:rsidRDefault="00003FA4" w:rsidP="00003FA4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A5864">
        <w:t>Привлекать учащихся начальной школы к участию в проектно-исследовательской деятельности, к участию в конкурсах и олимпиадах, к составлению рефератов, докладов и т. п.</w:t>
      </w:r>
    </w:p>
    <w:p w:rsidR="00003FA4" w:rsidRPr="009A5864" w:rsidRDefault="00003FA4" w:rsidP="00003FA4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A5864">
        <w:t>Разработать индивидуальные маршруты по формированию УУД в соответствии с выявленными проблемами на последующих этапах обучения.</w:t>
      </w:r>
    </w:p>
    <w:p w:rsidR="00126BA8" w:rsidRPr="002A4F37" w:rsidRDefault="00126BA8" w:rsidP="00126BA8">
      <w:pPr>
        <w:pStyle w:val="a3"/>
        <w:jc w:val="both"/>
      </w:pPr>
      <w:r>
        <w:rPr>
          <w:rFonts w:eastAsia="Calibri"/>
          <w:lang w:eastAsia="ar-SA"/>
        </w:rPr>
        <w:t xml:space="preserve">        </w:t>
      </w:r>
      <w:proofErr w:type="gramStart"/>
      <w:r>
        <w:rPr>
          <w:rFonts w:eastAsia="Calibri"/>
          <w:lang w:eastAsia="ar-SA"/>
        </w:rPr>
        <w:t>Д</w:t>
      </w:r>
      <w:r w:rsidRPr="002A4F37">
        <w:rPr>
          <w:rFonts w:eastAsia="Calibri"/>
          <w:lang w:eastAsia="ar-SA"/>
        </w:rPr>
        <w:t xml:space="preserve">ля развития </w:t>
      </w:r>
      <w:r w:rsidRPr="00126BA8">
        <w:rPr>
          <w:rFonts w:eastAsia="Calibri"/>
          <w:b/>
          <w:lang w:eastAsia="ar-SA"/>
        </w:rPr>
        <w:t xml:space="preserve">личностных </w:t>
      </w:r>
      <w:r w:rsidRPr="002A4F37">
        <w:rPr>
          <w:rFonts w:eastAsia="Calibri"/>
          <w:lang w:eastAsia="ar-SA"/>
        </w:rPr>
        <w:t>УУД педагогам необходимо проявлять заинтересованность деятельностью ребенка, создавать на уроках ситуацию успеха, поощ</w:t>
      </w:r>
      <w:r>
        <w:rPr>
          <w:rFonts w:eastAsia="Calibri"/>
          <w:lang w:eastAsia="ar-SA"/>
        </w:rPr>
        <w:t>рять за положительный результат.</w:t>
      </w:r>
      <w:proofErr w:type="gramEnd"/>
      <w:r>
        <w:rPr>
          <w:rFonts w:eastAsia="Calibri"/>
          <w:lang w:eastAsia="ar-SA"/>
        </w:rPr>
        <w:t xml:space="preserve"> А </w:t>
      </w:r>
      <w:r w:rsidRPr="002A4F37">
        <w:rPr>
          <w:rFonts w:eastAsia="Calibri"/>
          <w:lang w:eastAsia="ar-SA"/>
        </w:rPr>
        <w:t xml:space="preserve">для формирования </w:t>
      </w:r>
      <w:r w:rsidRPr="00126BA8">
        <w:rPr>
          <w:rFonts w:eastAsia="Calibri"/>
          <w:b/>
          <w:lang w:eastAsia="ar-SA"/>
        </w:rPr>
        <w:t xml:space="preserve">познавательных </w:t>
      </w:r>
      <w:r w:rsidRPr="002A4F37">
        <w:rPr>
          <w:rFonts w:eastAsia="Calibri"/>
          <w:lang w:eastAsia="ar-SA"/>
        </w:rPr>
        <w:t>УУД – привлекать учащихся к работе с разными источниками информации, развивать  основные мыслительные операции, умения устанавливать логические связи, используя для этого задания</w:t>
      </w:r>
      <w:r>
        <w:rPr>
          <w:rFonts w:eastAsia="Calibri"/>
          <w:lang w:eastAsia="ar-SA"/>
        </w:rPr>
        <w:t xml:space="preserve"> проблемно-поискового характера. </w:t>
      </w:r>
    </w:p>
    <w:p w:rsidR="00126BA8" w:rsidRDefault="00126BA8" w:rsidP="00126BA8">
      <w:pPr>
        <w:pStyle w:val="a3"/>
        <w:jc w:val="both"/>
        <w:rPr>
          <w:rFonts w:eastAsia="Calibri"/>
          <w:lang w:eastAsia="ar-SA"/>
        </w:rPr>
      </w:pPr>
    </w:p>
    <w:p w:rsidR="00126BA8" w:rsidRPr="002A4F37" w:rsidRDefault="00126BA8" w:rsidP="00126BA8">
      <w:pPr>
        <w:pStyle w:val="a3"/>
        <w:jc w:val="both"/>
      </w:pPr>
    </w:p>
    <w:p w:rsidR="003954AE" w:rsidRPr="000248F7" w:rsidRDefault="003954AE" w:rsidP="00003FA4">
      <w:pPr>
        <w:pStyle w:val="a3"/>
        <w:jc w:val="both"/>
      </w:pPr>
    </w:p>
    <w:p w:rsidR="00126BA8" w:rsidRDefault="00ED02B1" w:rsidP="00126BA8">
      <w:pPr>
        <w:pStyle w:val="a3"/>
        <w:ind w:left="720"/>
        <w:jc w:val="both"/>
      </w:pPr>
      <w:r>
        <w:t>15 мая  2020</w:t>
      </w:r>
      <w:r w:rsidR="00126BA8">
        <w:t xml:space="preserve"> г.</w:t>
      </w:r>
    </w:p>
    <w:p w:rsidR="00126BA8" w:rsidRDefault="00126BA8" w:rsidP="00126BA8">
      <w:pPr>
        <w:pStyle w:val="a3"/>
        <w:ind w:left="720"/>
        <w:jc w:val="both"/>
      </w:pPr>
    </w:p>
    <w:p w:rsidR="00126BA8" w:rsidRDefault="00126BA8" w:rsidP="00126BA8">
      <w:pPr>
        <w:pStyle w:val="a3"/>
        <w:ind w:left="720"/>
        <w:jc w:val="both"/>
      </w:pPr>
      <w:r>
        <w:t>Школьный п</w:t>
      </w:r>
      <w:r w:rsidR="00ED02B1">
        <w:t>сихолог: _______ И.Л.Непряхина</w:t>
      </w:r>
    </w:p>
    <w:p w:rsidR="00126BA8" w:rsidRPr="00CD640D" w:rsidRDefault="00126BA8" w:rsidP="00126BA8"/>
    <w:p w:rsidR="002D5493" w:rsidRPr="000248F7" w:rsidRDefault="002D5493" w:rsidP="000248F7">
      <w:pPr>
        <w:pStyle w:val="a3"/>
        <w:jc w:val="both"/>
      </w:pPr>
    </w:p>
    <w:sectPr w:rsidR="002D5493" w:rsidRPr="000248F7" w:rsidSect="00C55D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4AE"/>
    <w:rsid w:val="00003FA4"/>
    <w:rsid w:val="000248F7"/>
    <w:rsid w:val="00043699"/>
    <w:rsid w:val="00126BA8"/>
    <w:rsid w:val="0013489A"/>
    <w:rsid w:val="00157475"/>
    <w:rsid w:val="00161DAC"/>
    <w:rsid w:val="00210C30"/>
    <w:rsid w:val="00294EED"/>
    <w:rsid w:val="002D5493"/>
    <w:rsid w:val="00302C41"/>
    <w:rsid w:val="003954AE"/>
    <w:rsid w:val="00437606"/>
    <w:rsid w:val="005546D1"/>
    <w:rsid w:val="005B0E51"/>
    <w:rsid w:val="005D1775"/>
    <w:rsid w:val="005F5A04"/>
    <w:rsid w:val="00645C7E"/>
    <w:rsid w:val="006C27A9"/>
    <w:rsid w:val="007D14BD"/>
    <w:rsid w:val="00902FDF"/>
    <w:rsid w:val="00A311B9"/>
    <w:rsid w:val="00B401FC"/>
    <w:rsid w:val="00C05B90"/>
    <w:rsid w:val="00ED02B1"/>
    <w:rsid w:val="00F668F8"/>
    <w:rsid w:val="00FA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11">
    <w:name w:val="Светлая сетка - Акцент 11"/>
    <w:basedOn w:val="a1"/>
    <w:uiPriority w:val="62"/>
    <w:rsid w:val="00902F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02F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F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высокий</c:v>
                </c:pt>
              </c:strCache>
            </c:strRef>
          </c:tx>
          <c:cat>
            <c:numRef>
              <c:f>'Лист1'!$A$2:$A$5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20</c:v>
                </c:pt>
                <c:pt idx="3">
                  <c:v>67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средний</c:v>
                </c:pt>
              </c:strCache>
            </c:strRef>
          </c:tx>
          <c:cat>
            <c:numRef>
              <c:f>'Лист1'!$A$2:$A$5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'Лист1'!$C$2:$C$5</c:f>
              <c:numCache>
                <c:formatCode>General</c:formatCode>
                <c:ptCount val="4"/>
                <c:pt idx="0">
                  <c:v>0</c:v>
                </c:pt>
                <c:pt idx="1">
                  <c:v>60</c:v>
                </c:pt>
                <c:pt idx="2">
                  <c:v>60</c:v>
                </c:pt>
                <c:pt idx="3">
                  <c:v>17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низкий</c:v>
                </c:pt>
              </c:strCache>
            </c:strRef>
          </c:tx>
          <c:cat>
            <c:numRef>
              <c:f>'Лист1'!$A$2:$A$5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'Лист1'!$D$2:$D$5</c:f>
              <c:numCache>
                <c:formatCode>General</c:formatCode>
                <c:ptCount val="4"/>
                <c:pt idx="0">
                  <c:v>100</c:v>
                </c:pt>
                <c:pt idx="1">
                  <c:v>40</c:v>
                </c:pt>
                <c:pt idx="2">
                  <c:v>20</c:v>
                </c:pt>
                <c:pt idx="3">
                  <c:v>17</c:v>
                </c:pt>
              </c:numCache>
            </c:numRef>
          </c:val>
        </c:ser>
        <c:axId val="171323392"/>
        <c:axId val="171326080"/>
      </c:barChart>
      <c:catAx>
        <c:axId val="171323392"/>
        <c:scaling>
          <c:orientation val="minMax"/>
        </c:scaling>
        <c:axPos val="b"/>
        <c:numFmt formatCode="General" sourceLinked="1"/>
        <c:tickLblPos val="nextTo"/>
        <c:crossAx val="171326080"/>
        <c:crosses val="autoZero"/>
        <c:auto val="1"/>
        <c:lblAlgn val="ctr"/>
        <c:lblOffset val="100"/>
      </c:catAx>
      <c:valAx>
        <c:axId val="171326080"/>
        <c:scaling>
          <c:orientation val="minMax"/>
        </c:scaling>
        <c:axPos val="l"/>
        <c:majorGridlines/>
        <c:numFmt formatCode="General" sourceLinked="1"/>
        <c:tickLblPos val="nextTo"/>
        <c:crossAx val="171323392"/>
        <c:crosses val="autoZero"/>
        <c:crossBetween val="between"/>
      </c:valAx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</c:spPr>
    </c:plotArea>
    <c:legend>
      <c:legendPos val="r"/>
    </c:legend>
    <c:plotVisOnly val="1"/>
    <c:dispBlanksAs val="gap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40</c:v>
                </c:pt>
                <c:pt idx="3">
                  <c:v>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60</c:v>
                </c:pt>
                <c:pt idx="2">
                  <c:v>40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40</c:v>
                </c:pt>
                <c:pt idx="2">
                  <c:v>20</c:v>
                </c:pt>
                <c:pt idx="3">
                  <c:v>17</c:v>
                </c:pt>
              </c:numCache>
            </c:numRef>
          </c:val>
        </c:ser>
        <c:axId val="174256128"/>
        <c:axId val="174356736"/>
      </c:barChart>
      <c:catAx>
        <c:axId val="174256128"/>
        <c:scaling>
          <c:orientation val="minMax"/>
        </c:scaling>
        <c:axPos val="b"/>
        <c:numFmt formatCode="General" sourceLinked="1"/>
        <c:tickLblPos val="nextTo"/>
        <c:crossAx val="174356736"/>
        <c:crosses val="autoZero"/>
        <c:auto val="1"/>
        <c:lblAlgn val="ctr"/>
        <c:lblOffset val="100"/>
      </c:catAx>
      <c:valAx>
        <c:axId val="174356736"/>
        <c:scaling>
          <c:orientation val="minMax"/>
        </c:scaling>
        <c:axPos val="l"/>
        <c:majorGridlines/>
        <c:numFmt formatCode="General" sourceLinked="1"/>
        <c:tickLblPos val="nextTo"/>
        <c:crossAx val="174256128"/>
        <c:crosses val="autoZero"/>
        <c:crossBetween val="between"/>
      </c:valAx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</c:spPr>
    </c:plotArea>
    <c:legend>
      <c:legendPos val="r"/>
    </c:legend>
    <c:plotVisOnly val="1"/>
    <c:dispBlanksAs val="gap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70</c:v>
                </c:pt>
                <c:pt idx="3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60</c:v>
                </c:pt>
                <c:pt idx="2">
                  <c:v>30</c:v>
                </c:pt>
                <c:pt idx="3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axId val="180651136"/>
        <c:axId val="185008896"/>
      </c:barChart>
      <c:catAx>
        <c:axId val="180651136"/>
        <c:scaling>
          <c:orientation val="minMax"/>
        </c:scaling>
        <c:axPos val="b"/>
        <c:numFmt formatCode="General" sourceLinked="1"/>
        <c:tickLblPos val="nextTo"/>
        <c:crossAx val="185008896"/>
        <c:crosses val="autoZero"/>
        <c:auto val="1"/>
        <c:lblAlgn val="ctr"/>
        <c:lblOffset val="100"/>
      </c:catAx>
      <c:valAx>
        <c:axId val="185008896"/>
        <c:scaling>
          <c:orientation val="minMax"/>
        </c:scaling>
        <c:axPos val="l"/>
        <c:majorGridlines/>
        <c:numFmt formatCode="General" sourceLinked="1"/>
        <c:tickLblPos val="nextTo"/>
        <c:crossAx val="180651136"/>
        <c:crosses val="autoZero"/>
        <c:crossBetween val="between"/>
      </c:valAx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</c:spPr>
    </c:plotArea>
    <c:legend>
      <c:legendPos val="r"/>
    </c:legend>
    <c:plotVisOnly val="1"/>
    <c:dispBlanksAs val="gap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40</c:v>
                </c:pt>
                <c:pt idx="3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60</c:v>
                </c:pt>
                <c:pt idx="2">
                  <c:v>40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80</c:v>
                </c:pt>
                <c:pt idx="1">
                  <c:v>40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axId val="185235328"/>
        <c:axId val="189543168"/>
      </c:barChart>
      <c:catAx>
        <c:axId val="185235328"/>
        <c:scaling>
          <c:orientation val="minMax"/>
        </c:scaling>
        <c:axPos val="b"/>
        <c:numFmt formatCode="General" sourceLinked="1"/>
        <c:tickLblPos val="nextTo"/>
        <c:crossAx val="189543168"/>
        <c:crosses val="autoZero"/>
        <c:auto val="1"/>
        <c:lblAlgn val="ctr"/>
        <c:lblOffset val="100"/>
      </c:catAx>
      <c:valAx>
        <c:axId val="189543168"/>
        <c:scaling>
          <c:orientation val="minMax"/>
        </c:scaling>
        <c:axPos val="l"/>
        <c:majorGridlines/>
        <c:numFmt formatCode="General" sourceLinked="1"/>
        <c:tickLblPos val="nextTo"/>
        <c:crossAx val="185235328"/>
        <c:crosses val="autoZero"/>
        <c:crossBetween val="between"/>
      </c:valAx>
      <c:spPr>
        <a:gradFill>
          <a:gsLst>
            <a:gs pos="0">
              <a:srgbClr val="5E9EFF"/>
            </a:gs>
            <a:gs pos="39999">
              <a:srgbClr val="85C2FF"/>
            </a:gs>
            <a:gs pos="70000">
              <a:srgbClr val="C4D6EB"/>
            </a:gs>
            <a:gs pos="100000">
              <a:srgbClr val="FFEBFA"/>
            </a:gs>
          </a:gsLst>
          <a:lin ang="5400000" scaled="0"/>
        </a:gradFill>
      </c:spPr>
    </c:plotArea>
    <c:legend>
      <c:legendPos val="r"/>
    </c:legend>
    <c:plotVisOnly val="1"/>
    <c:dispBlanksAs val="gap"/>
  </c:chart>
  <c:spPr>
    <a:gradFill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lin ang="5400000" scaled="0"/>
    </a:gradFill>
  </c:sp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zxc</cp:lastModifiedBy>
  <cp:revision>3</cp:revision>
  <cp:lastPrinted>2016-10-17T22:27:00Z</cp:lastPrinted>
  <dcterms:created xsi:type="dcterms:W3CDTF">2020-01-05T14:37:00Z</dcterms:created>
  <dcterms:modified xsi:type="dcterms:W3CDTF">2020-01-05T14:37:00Z</dcterms:modified>
</cp:coreProperties>
</file>