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C5" w:rsidRPr="00D15AF6" w:rsidRDefault="001B2EC5" w:rsidP="001B2EC5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 xml:space="preserve">АОУ РС(Я) ДПО “Институт развития образования и повышения квалификации имени С.Н. Донского – </w:t>
      </w:r>
      <w:r w:rsidRPr="00D15AF6">
        <w:rPr>
          <w:sz w:val="28"/>
          <w:szCs w:val="28"/>
          <w:lang w:val="en-US"/>
        </w:rPr>
        <w:t>II</w:t>
      </w:r>
      <w:r w:rsidRPr="00D15AF6">
        <w:rPr>
          <w:sz w:val="28"/>
          <w:szCs w:val="28"/>
          <w:lang w:val="sah-RU"/>
        </w:rPr>
        <w:t>”</w:t>
      </w:r>
    </w:p>
    <w:p w:rsidR="001B2EC5" w:rsidRPr="00D15AF6" w:rsidRDefault="001B2EC5" w:rsidP="001B2EC5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>ГБУ “Центр мониторинга качества образования Министерства образования и науки Республики Саха (Якутия)</w:t>
      </w:r>
      <w:r>
        <w:rPr>
          <w:sz w:val="28"/>
          <w:szCs w:val="28"/>
          <w:lang w:val="sah-RU"/>
        </w:rPr>
        <w:t>”</w:t>
      </w:r>
    </w:p>
    <w:p w:rsidR="001B2EC5" w:rsidRPr="00D15AF6" w:rsidRDefault="001B2EC5" w:rsidP="001B2EC5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>Председатели предметных комиссий ГИА-9 Республики Саха (Якутия)</w:t>
      </w:r>
    </w:p>
    <w:p w:rsidR="001B2EC5" w:rsidRDefault="001B2EC5" w:rsidP="001B2EC5">
      <w:pPr>
        <w:jc w:val="center"/>
        <w:rPr>
          <w:b/>
          <w:sz w:val="28"/>
          <w:szCs w:val="28"/>
          <w:lang w:val="sah-RU"/>
        </w:rPr>
      </w:pPr>
    </w:p>
    <w:p w:rsidR="001B2EC5" w:rsidRDefault="001B2EC5" w:rsidP="001B2EC5">
      <w:pPr>
        <w:jc w:val="center"/>
        <w:rPr>
          <w:b/>
          <w:sz w:val="28"/>
          <w:szCs w:val="28"/>
          <w:lang w:val="sah-RU"/>
        </w:rPr>
      </w:pPr>
    </w:p>
    <w:p w:rsidR="001B2EC5" w:rsidRPr="00D15AF6" w:rsidRDefault="001B2EC5" w:rsidP="001B2EC5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</w:rPr>
        <w:t xml:space="preserve">Рекомендации для учителей по подготовке </w:t>
      </w:r>
      <w:r w:rsidR="00725F84">
        <w:rPr>
          <w:b/>
          <w:sz w:val="28"/>
          <w:szCs w:val="28"/>
          <w:lang w:val="sah-RU"/>
        </w:rPr>
        <w:t xml:space="preserve">обучающихся </w:t>
      </w:r>
      <w:r w:rsidRPr="00D15AF6">
        <w:rPr>
          <w:b/>
          <w:sz w:val="28"/>
          <w:szCs w:val="28"/>
          <w:lang w:val="sah-RU"/>
        </w:rPr>
        <w:t>9 классов</w:t>
      </w:r>
    </w:p>
    <w:p w:rsidR="001B2EC5" w:rsidRPr="00D15AF6" w:rsidRDefault="001B2EC5" w:rsidP="001B2EC5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</w:rPr>
        <w:t>к ОГЭ</w:t>
      </w:r>
      <w:r w:rsidRPr="00D15AF6">
        <w:rPr>
          <w:b/>
          <w:sz w:val="28"/>
          <w:szCs w:val="28"/>
          <w:lang w:val="sah-RU"/>
        </w:rPr>
        <w:t xml:space="preserve"> по </w:t>
      </w:r>
      <w:r>
        <w:rPr>
          <w:b/>
          <w:sz w:val="28"/>
          <w:szCs w:val="28"/>
          <w:lang w:val="sah-RU"/>
        </w:rPr>
        <w:t xml:space="preserve">информатике </w:t>
      </w:r>
      <w:r w:rsidRPr="00D15AF6">
        <w:rPr>
          <w:b/>
          <w:sz w:val="28"/>
          <w:szCs w:val="28"/>
          <w:lang w:val="sah-RU"/>
        </w:rPr>
        <w:t xml:space="preserve">с учетом </w:t>
      </w:r>
    </w:p>
    <w:p w:rsidR="001B2EC5" w:rsidRPr="00D15AF6" w:rsidRDefault="001B2EC5" w:rsidP="001B2EC5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  <w:lang w:val="sah-RU"/>
        </w:rPr>
        <w:t>планируемых изменений в КИМ ОГЭ 2020 г.</w:t>
      </w:r>
    </w:p>
    <w:p w:rsidR="000B4255" w:rsidRDefault="000B4255">
      <w:pPr>
        <w:rPr>
          <w:lang w:val="sah-RU"/>
        </w:rPr>
      </w:pPr>
    </w:p>
    <w:p w:rsidR="00707CA4" w:rsidRPr="00707CA4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  <w:lang w:val="sah-RU"/>
        </w:rPr>
        <w:t>Нормативными документами, определяющими концептуальные положения и содержание экзаменационных работ, являются спецификация контрольных измерительных материалов (КИМ) и кодификатор элементов содержания и требований к уровню подготовки обучающихся для проведения государственного экзамена по информатике и ИКТ. В 2020 году планируется внесение изменений в структуру и содержание КИМ ОГЭ по информатике.</w:t>
      </w:r>
    </w:p>
    <w:p w:rsidR="00707CA4" w:rsidRPr="00707CA4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  <w:lang w:val="sah-RU"/>
        </w:rPr>
        <w:t xml:space="preserve">Нововведения продиктованы особенностями программы, по которой обучались экзаменуемые, </w:t>
      </w:r>
      <w:r w:rsidR="008B789A">
        <w:rPr>
          <w:sz w:val="28"/>
          <w:szCs w:val="28"/>
          <w:lang w:val="sah-RU"/>
        </w:rPr>
        <w:t>о</w:t>
      </w:r>
      <w:r w:rsidRPr="00707CA4">
        <w:rPr>
          <w:sz w:val="28"/>
          <w:szCs w:val="28"/>
          <w:lang w:val="sah-RU"/>
        </w:rPr>
        <w:t>канчивающие 9 класс в 2019-2020 учебном году. Стоит учесть, что отличие от выпускников всех предыдущих лет, это будет первый выпуск, обучавшийся по стандартам ФГОС ОО с 1-го класса. Таким образом, основанием изменений является окончание основной школы учащимися, обучение которых с первого класса осуществлялось на основе ФГОС ОО.</w:t>
      </w:r>
    </w:p>
    <w:p w:rsidR="009438CB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  <w:lang w:val="sah-RU"/>
        </w:rPr>
        <w:t xml:space="preserve">Отталкиваясь от норм ФГОС и актуальных программ, ФИПИ разработал новые КИМы, с которым предстоит столкнуться выпускникам 2020 года. </w:t>
      </w:r>
    </w:p>
    <w:p w:rsidR="00707CA4" w:rsidRPr="00707CA4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  <w:lang w:val="sah-RU"/>
        </w:rPr>
        <w:t>Изменения в первую очередь ориентированы на контроль достижения не только предметных, но и совокупности метапредметных познавательных результатов ФГОС ООО: аналитических и поисковых умений, логического и алгоритмического мышления, способности к применению предметных и метапредметных умений в реальной практической деятельности.</w:t>
      </w:r>
    </w:p>
    <w:p w:rsidR="00707CA4" w:rsidRPr="00707CA4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  <w:lang w:val="sah-RU"/>
        </w:rPr>
        <w:t xml:space="preserve">В остальном формат проведения ГИА-9 по информатике останется неизменным: длительность - 2 часа 30 минут (150 мин.); ответы 1-й части заносятся в бланк; ответом на задания 2-й части является файл, который необходимо будет сохранить на ПК; использование каких-либо </w:t>
      </w:r>
      <w:r w:rsidRPr="00707CA4">
        <w:rPr>
          <w:sz w:val="28"/>
          <w:szCs w:val="28"/>
          <w:lang w:val="sah-RU"/>
        </w:rPr>
        <w:lastRenderedPageBreak/>
        <w:t>калькуляторов запрещено; доступ в Интернет на ПК в день ОГЭ блокируется; экзаменуемым предоставляются файлы заготовки для выполнения некоторых заданий 2-й части</w:t>
      </w:r>
    </w:p>
    <w:p w:rsidR="00707CA4" w:rsidRPr="00707CA4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  <w:lang w:val="sah-RU"/>
        </w:rPr>
        <w:t>При этом нормативными документами оговаривается, что на ОГЭ выпускникам должны быть предоставлены компьютеры с программным обеспечением, которым учащиеся пользовались на уроках информатики (текстовый и табличный процессоры, редактор презентаций, среда для составления алгоритмов, среда программирования</w:t>
      </w:r>
      <w:r w:rsidR="008B789A">
        <w:rPr>
          <w:sz w:val="28"/>
          <w:szCs w:val="28"/>
          <w:lang w:val="sah-RU"/>
        </w:rPr>
        <w:t>)</w:t>
      </w:r>
      <w:r w:rsidRPr="00707CA4">
        <w:rPr>
          <w:sz w:val="28"/>
          <w:szCs w:val="28"/>
          <w:lang w:val="sah-RU"/>
        </w:rPr>
        <w:t>. Экзаменуемым предоставляется право выбора языка программирования при решении задачи №15.</w:t>
      </w:r>
    </w:p>
    <w:p w:rsidR="001B2EC5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  <w:lang w:val="sah-RU"/>
        </w:rPr>
        <w:t>В соответствии с новым вариантом модели КИМ ОГЭ по информатике, как и используемая в настоящее время, экза</w:t>
      </w:r>
      <w:r w:rsidR="008B789A">
        <w:rPr>
          <w:sz w:val="28"/>
          <w:szCs w:val="28"/>
          <w:lang w:val="sah-RU"/>
        </w:rPr>
        <w:t>менационная работа состоит из 2-</w:t>
      </w:r>
      <w:r w:rsidRPr="00707CA4">
        <w:rPr>
          <w:sz w:val="28"/>
          <w:szCs w:val="28"/>
          <w:lang w:val="sah-RU"/>
        </w:rPr>
        <w:t>х частей: тестовой (часть 1) и предполагающей выполнение практических заданий на компьютере (часть 2), но количество и уровень сложности заданий в каждой части по сравнению с действующим вариантом КИМ изменен (см. табл. 1).</w:t>
      </w:r>
    </w:p>
    <w:p w:rsidR="008B789A" w:rsidRDefault="008B789A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</w:p>
    <w:p w:rsidR="00707CA4" w:rsidRDefault="00707CA4" w:rsidP="00707CA4">
      <w:pPr>
        <w:spacing w:line="300" w:lineRule="auto"/>
        <w:ind w:firstLine="709"/>
        <w:jc w:val="both"/>
        <w:rPr>
          <w:color w:val="000000"/>
          <w:lang w:val="sah-RU" w:bidi="ru-RU"/>
        </w:rPr>
      </w:pPr>
      <w:r w:rsidRPr="008B789A">
        <w:rPr>
          <w:color w:val="000000"/>
          <w:lang w:bidi="ru-RU"/>
        </w:rPr>
        <w:t>Таблица 1. Сравнение структуры КИМ перспективной и действующей</w:t>
      </w:r>
      <w:r w:rsidRPr="008B789A">
        <w:rPr>
          <w:color w:val="000000"/>
          <w:lang w:val="sah-RU" w:bidi="ru-RU"/>
        </w:rPr>
        <w:t xml:space="preserve"> модели</w:t>
      </w:r>
    </w:p>
    <w:p w:rsidR="008B789A" w:rsidRPr="008B789A" w:rsidRDefault="008B789A" w:rsidP="00707CA4">
      <w:pPr>
        <w:spacing w:line="300" w:lineRule="auto"/>
        <w:ind w:firstLine="709"/>
        <w:jc w:val="both"/>
        <w:rPr>
          <w:lang w:val="sah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34"/>
        <w:gridCol w:w="3115"/>
        <w:gridCol w:w="3110"/>
      </w:tblGrid>
      <w:tr w:rsidR="008B789A" w:rsidRPr="002B256D" w:rsidTr="002B256D">
        <w:trPr>
          <w:trHeight w:val="6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89A" w:rsidRPr="002B256D" w:rsidRDefault="008B789A" w:rsidP="00707CA4">
            <w:pPr>
              <w:spacing w:line="280" w:lineRule="exact"/>
              <w:jc w:val="center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Характеристика 1</w:t>
            </w:r>
          </w:p>
          <w:p w:rsidR="008B789A" w:rsidRPr="002B256D" w:rsidRDefault="008B789A" w:rsidP="00707CA4">
            <w:pPr>
              <w:spacing w:line="280" w:lineRule="exact"/>
              <w:jc w:val="center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части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89A" w:rsidRPr="002B256D" w:rsidRDefault="008B789A" w:rsidP="00707CA4">
            <w:pPr>
              <w:spacing w:line="280" w:lineRule="exact"/>
              <w:jc w:val="center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Перспективная</w:t>
            </w:r>
          </w:p>
          <w:p w:rsidR="008B789A" w:rsidRPr="002B256D" w:rsidRDefault="008B789A" w:rsidP="00707CA4">
            <w:pPr>
              <w:spacing w:line="280" w:lineRule="exact"/>
              <w:jc w:val="center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модель 1 части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89A" w:rsidRPr="002B256D" w:rsidRDefault="008B789A" w:rsidP="00707CA4">
            <w:pPr>
              <w:spacing w:line="280" w:lineRule="exact"/>
              <w:ind w:left="180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Действующая модель</w:t>
            </w:r>
          </w:p>
          <w:p w:rsidR="008B789A" w:rsidRPr="002B256D" w:rsidRDefault="008B789A" w:rsidP="00707CA4">
            <w:pPr>
              <w:spacing w:line="280" w:lineRule="exact"/>
              <w:jc w:val="center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1 части</w:t>
            </w:r>
          </w:p>
        </w:tc>
      </w:tr>
      <w:tr w:rsidR="00707CA4" w:rsidRPr="002B256D" w:rsidTr="002B256D">
        <w:trPr>
          <w:trHeight w:val="63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CA4" w:rsidRPr="002B256D" w:rsidRDefault="00707CA4" w:rsidP="00707CA4">
            <w:r w:rsidRPr="002B256D">
              <w:rPr>
                <w:rStyle w:val="20"/>
                <w:rFonts w:eastAsiaTheme="minorHAnsi"/>
                <w:sz w:val="24"/>
                <w:szCs w:val="24"/>
              </w:rPr>
              <w:t>Количество заданий базового уровня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11</w:t>
            </w:r>
          </w:p>
        </w:tc>
      </w:tr>
      <w:tr w:rsidR="008B789A" w:rsidRPr="002B256D" w:rsidTr="002B256D">
        <w:trPr>
          <w:trHeight w:val="8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89A" w:rsidRPr="002B256D" w:rsidRDefault="008B789A" w:rsidP="00707CA4">
            <w:pPr>
              <w:spacing w:line="260" w:lineRule="exact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Количество заданий</w:t>
            </w:r>
          </w:p>
          <w:p w:rsidR="008B789A" w:rsidRPr="002B256D" w:rsidRDefault="008B789A" w:rsidP="00707CA4">
            <w:pPr>
              <w:spacing w:line="260" w:lineRule="exact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повышенного уровня</w:t>
            </w:r>
          </w:p>
          <w:p w:rsidR="008B789A" w:rsidRPr="002B256D" w:rsidRDefault="008B789A" w:rsidP="00707CA4">
            <w:pPr>
              <w:spacing w:line="260" w:lineRule="exact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сложности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89A" w:rsidRPr="002B256D" w:rsidRDefault="008B789A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89A" w:rsidRPr="002B256D" w:rsidRDefault="008B789A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7</w:t>
            </w:r>
          </w:p>
        </w:tc>
      </w:tr>
      <w:tr w:rsidR="00C45620" w:rsidRPr="002B256D" w:rsidTr="002B256D">
        <w:trPr>
          <w:trHeight w:val="65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20" w:rsidRPr="002B256D" w:rsidRDefault="00C45620" w:rsidP="00707CA4">
            <w:pPr>
              <w:spacing w:line="280" w:lineRule="exact"/>
              <w:jc w:val="center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Характеристика 2</w:t>
            </w:r>
          </w:p>
          <w:p w:rsidR="00C45620" w:rsidRPr="002B256D" w:rsidRDefault="00C45620" w:rsidP="00707CA4">
            <w:pPr>
              <w:spacing w:line="280" w:lineRule="exact"/>
              <w:jc w:val="center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части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620" w:rsidRPr="002B256D" w:rsidRDefault="00C45620" w:rsidP="00707CA4">
            <w:pPr>
              <w:spacing w:line="280" w:lineRule="exact"/>
              <w:jc w:val="center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Перспективная</w:t>
            </w:r>
          </w:p>
          <w:p w:rsidR="00C45620" w:rsidRPr="002B256D" w:rsidRDefault="00C45620" w:rsidP="00707CA4">
            <w:pPr>
              <w:spacing w:line="280" w:lineRule="exact"/>
              <w:jc w:val="center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модель 2 части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620" w:rsidRPr="002B256D" w:rsidRDefault="00C45620" w:rsidP="00707CA4">
            <w:pPr>
              <w:spacing w:line="280" w:lineRule="exact"/>
              <w:ind w:left="180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Действующая модель</w:t>
            </w:r>
          </w:p>
          <w:p w:rsidR="00C45620" w:rsidRPr="002B256D" w:rsidRDefault="00C45620" w:rsidP="00707CA4">
            <w:pPr>
              <w:spacing w:line="280" w:lineRule="exact"/>
              <w:jc w:val="center"/>
            </w:pPr>
            <w:r w:rsidRPr="002B256D">
              <w:rPr>
                <w:rStyle w:val="214pt"/>
                <w:rFonts w:eastAsiaTheme="minorHAnsi"/>
                <w:sz w:val="24"/>
                <w:szCs w:val="24"/>
              </w:rPr>
              <w:t>2 части</w:t>
            </w:r>
          </w:p>
        </w:tc>
      </w:tr>
      <w:tr w:rsidR="00707CA4" w:rsidRPr="002B256D" w:rsidTr="002B256D">
        <w:trPr>
          <w:trHeight w:val="66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CA4" w:rsidRPr="002B256D" w:rsidRDefault="00707CA4" w:rsidP="00707CA4">
            <w:pPr>
              <w:spacing w:line="389" w:lineRule="exact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Количество заданий базового уровня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-</w:t>
            </w:r>
          </w:p>
        </w:tc>
      </w:tr>
      <w:tr w:rsidR="00C45620" w:rsidRPr="002B256D" w:rsidTr="002B256D">
        <w:trPr>
          <w:trHeight w:val="76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620" w:rsidRPr="002B256D" w:rsidRDefault="00C45620" w:rsidP="00707CA4">
            <w:pPr>
              <w:spacing w:line="260" w:lineRule="exact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Количество заданий</w:t>
            </w:r>
          </w:p>
          <w:p w:rsidR="00C45620" w:rsidRPr="002B256D" w:rsidRDefault="00C45620" w:rsidP="00707CA4">
            <w:pPr>
              <w:spacing w:line="260" w:lineRule="exact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повышенного уровня</w:t>
            </w:r>
          </w:p>
          <w:p w:rsidR="00C45620" w:rsidRPr="002B256D" w:rsidRDefault="00C45620" w:rsidP="00707CA4">
            <w:pPr>
              <w:spacing w:line="260" w:lineRule="exact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сложности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620" w:rsidRPr="002B256D" w:rsidRDefault="00C45620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620" w:rsidRPr="002B256D" w:rsidRDefault="00C45620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-</w:t>
            </w:r>
          </w:p>
        </w:tc>
      </w:tr>
      <w:tr w:rsidR="00707CA4" w:rsidRPr="002B256D" w:rsidTr="002B256D">
        <w:trPr>
          <w:trHeight w:val="6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CA4" w:rsidRPr="002B256D" w:rsidRDefault="00707CA4" w:rsidP="00707CA4">
            <w:r w:rsidRPr="002B256D">
              <w:rPr>
                <w:rStyle w:val="20"/>
                <w:rFonts w:eastAsiaTheme="minorHAnsi"/>
                <w:sz w:val="24"/>
                <w:szCs w:val="24"/>
              </w:rPr>
              <w:t>Количество заданий высокого уровня сложности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</w:tr>
      <w:tr w:rsidR="00707CA4" w:rsidRPr="002B256D" w:rsidTr="002B256D">
        <w:trPr>
          <w:trHeight w:val="5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r w:rsidRPr="002B256D">
              <w:rPr>
                <w:rStyle w:val="214pt"/>
                <w:rFonts w:eastAsiaTheme="minorHAnsi"/>
                <w:sz w:val="24"/>
                <w:szCs w:val="24"/>
              </w:rPr>
              <w:t>Общее количество заданий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20</w:t>
            </w:r>
          </w:p>
        </w:tc>
      </w:tr>
      <w:tr w:rsidR="00707CA4" w:rsidRPr="002B256D" w:rsidTr="002B256D">
        <w:trPr>
          <w:trHeight w:val="5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CA4" w:rsidRPr="002B256D" w:rsidRDefault="00707CA4" w:rsidP="00707CA4">
            <w:pPr>
              <w:spacing w:line="379" w:lineRule="exact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Количество заданий части 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18</w:t>
            </w:r>
          </w:p>
        </w:tc>
      </w:tr>
      <w:tr w:rsidR="00707CA4" w:rsidRPr="002B256D" w:rsidTr="002B256D">
        <w:trPr>
          <w:trHeight w:val="53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379" w:lineRule="exact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Количество заданий части 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CA4" w:rsidRPr="002B256D" w:rsidRDefault="00707CA4" w:rsidP="00707CA4">
            <w:pPr>
              <w:spacing w:line="260" w:lineRule="exact"/>
              <w:jc w:val="center"/>
            </w:pPr>
            <w:r w:rsidRPr="002B256D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</w:tr>
    </w:tbl>
    <w:p w:rsidR="00707CA4" w:rsidRDefault="00707CA4" w:rsidP="00707CA4">
      <w:pPr>
        <w:pStyle w:val="a6"/>
        <w:shd w:val="clear" w:color="auto" w:fill="auto"/>
        <w:ind w:firstLine="600"/>
        <w:rPr>
          <w:color w:val="000000"/>
          <w:lang w:val="sah-RU" w:eastAsia="ru-RU" w:bidi="ru-RU"/>
        </w:rPr>
      </w:pPr>
      <w:r>
        <w:rPr>
          <w:color w:val="000000"/>
          <w:lang w:eastAsia="ru-RU" w:bidi="ru-RU"/>
        </w:rPr>
        <w:lastRenderedPageBreak/>
        <w:t>Таким образом, в 2020 году девятиклассникам на ОГЭ по информатике предстоит выполнить 15 заданий (в 2019 году их было 20), которые будут разделены на два блока:</w:t>
      </w:r>
    </w:p>
    <w:p w:rsidR="00707CA4" w:rsidRPr="00707CA4" w:rsidRDefault="00707CA4" w:rsidP="00707CA4">
      <w:pPr>
        <w:pStyle w:val="a6"/>
        <w:shd w:val="clear" w:color="auto" w:fill="auto"/>
        <w:ind w:firstLine="600"/>
        <w:rPr>
          <w:lang w:val="sah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91"/>
        <w:gridCol w:w="2549"/>
        <w:gridCol w:w="3720"/>
      </w:tblGrid>
      <w:tr w:rsidR="00707CA4" w:rsidTr="00707CA4">
        <w:trPr>
          <w:trHeight w:hRule="exact" w:val="39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CA4" w:rsidRDefault="00707CA4" w:rsidP="00707CA4">
            <w:pPr>
              <w:spacing w:line="280" w:lineRule="exact"/>
              <w:jc w:val="center"/>
            </w:pPr>
            <w:r>
              <w:rPr>
                <w:rStyle w:val="214pt"/>
                <w:rFonts w:eastAsiaTheme="minorHAnsi"/>
              </w:rPr>
              <w:t>Блок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CA4" w:rsidRDefault="00707CA4" w:rsidP="00707CA4">
            <w:pPr>
              <w:spacing w:line="280" w:lineRule="exact"/>
              <w:jc w:val="center"/>
            </w:pPr>
            <w:r>
              <w:rPr>
                <w:rStyle w:val="214pt"/>
                <w:rFonts w:eastAsiaTheme="minorHAnsi"/>
              </w:rPr>
              <w:t>Количество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CA4" w:rsidRDefault="00707CA4" w:rsidP="00707CA4">
            <w:pPr>
              <w:spacing w:line="280" w:lineRule="exact"/>
              <w:jc w:val="center"/>
            </w:pPr>
            <w:r>
              <w:rPr>
                <w:rStyle w:val="214pt"/>
                <w:rFonts w:eastAsiaTheme="minorHAnsi"/>
              </w:rPr>
              <w:t>Особенности</w:t>
            </w:r>
          </w:p>
        </w:tc>
      </w:tr>
      <w:tr w:rsidR="00707CA4" w:rsidTr="00707CA4">
        <w:trPr>
          <w:trHeight w:hRule="exact" w:val="39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CA4" w:rsidRDefault="00707CA4" w:rsidP="00707CA4">
            <w:pPr>
              <w:spacing w:line="260" w:lineRule="exact"/>
            </w:pPr>
            <w:r>
              <w:rPr>
                <w:rStyle w:val="20"/>
                <w:rFonts w:eastAsiaTheme="minorHAnsi"/>
              </w:rPr>
              <w:t>№1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CA4" w:rsidRDefault="00707CA4" w:rsidP="00707CA4">
            <w:pPr>
              <w:spacing w:line="260" w:lineRule="exact"/>
              <w:jc w:val="center"/>
            </w:pPr>
            <w:r>
              <w:rPr>
                <w:rStyle w:val="20"/>
                <w:rFonts w:eastAsiaTheme="minorHAnsi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CA4" w:rsidRDefault="00707CA4" w:rsidP="00707CA4">
            <w:pPr>
              <w:spacing w:line="260" w:lineRule="exact"/>
              <w:ind w:left="160"/>
            </w:pPr>
            <w:r>
              <w:rPr>
                <w:rStyle w:val="20"/>
                <w:rFonts w:eastAsiaTheme="minorHAnsi"/>
              </w:rPr>
              <w:t>С кратким ответом (без ПК)</w:t>
            </w:r>
          </w:p>
        </w:tc>
      </w:tr>
      <w:tr w:rsidR="00707CA4" w:rsidTr="00707CA4">
        <w:trPr>
          <w:trHeight w:hRule="exact" w:val="792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CA4" w:rsidRDefault="00707CA4" w:rsidP="00707CA4">
            <w:pPr>
              <w:spacing w:line="260" w:lineRule="exact"/>
            </w:pPr>
            <w:r>
              <w:rPr>
                <w:rStyle w:val="20"/>
                <w:rFonts w:eastAsiaTheme="minorHAnsi"/>
              </w:rPr>
              <w:t>№2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CA4" w:rsidRDefault="00707CA4" w:rsidP="00707CA4">
            <w:pPr>
              <w:spacing w:line="260" w:lineRule="exact"/>
              <w:jc w:val="center"/>
            </w:pPr>
            <w:r>
              <w:rPr>
                <w:rStyle w:val="20"/>
                <w:rFonts w:eastAsiaTheme="minorHAnsi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CA4" w:rsidRDefault="00707CA4" w:rsidP="00707CA4">
            <w:pPr>
              <w:spacing w:line="389" w:lineRule="exact"/>
              <w:jc w:val="center"/>
            </w:pPr>
            <w:r>
              <w:rPr>
                <w:rStyle w:val="20"/>
                <w:rFonts w:eastAsiaTheme="minorHAnsi"/>
              </w:rPr>
              <w:t>С развернутым ответом (практическая работа на ПК)</w:t>
            </w:r>
          </w:p>
        </w:tc>
      </w:tr>
    </w:tbl>
    <w:p w:rsidR="001B2EC5" w:rsidRPr="00707CA4" w:rsidRDefault="001B2EC5" w:rsidP="001B2EC5">
      <w:pPr>
        <w:spacing w:line="300" w:lineRule="auto"/>
        <w:ind w:firstLine="709"/>
        <w:rPr>
          <w:sz w:val="28"/>
          <w:szCs w:val="28"/>
        </w:rPr>
      </w:pPr>
    </w:p>
    <w:p w:rsidR="00707CA4" w:rsidRPr="00707CA4" w:rsidRDefault="00707CA4" w:rsidP="00707CA4">
      <w:pPr>
        <w:spacing w:line="300" w:lineRule="auto"/>
        <w:ind w:firstLine="709"/>
        <w:jc w:val="both"/>
        <w:rPr>
          <w:sz w:val="28"/>
          <w:szCs w:val="28"/>
        </w:rPr>
      </w:pPr>
      <w:r w:rsidRPr="00707CA4">
        <w:rPr>
          <w:sz w:val="28"/>
          <w:szCs w:val="28"/>
        </w:rPr>
        <w:t xml:space="preserve">Рекомендуется из 150 минут на 1-й блок выделить 30 минут, а </w:t>
      </w:r>
      <w:proofErr w:type="gramStart"/>
      <w:r w:rsidRPr="00707CA4">
        <w:rPr>
          <w:sz w:val="28"/>
          <w:szCs w:val="28"/>
        </w:rPr>
        <w:t>оставшиеся</w:t>
      </w:r>
      <w:proofErr w:type="gramEnd"/>
      <w:r w:rsidRPr="00707CA4">
        <w:rPr>
          <w:sz w:val="28"/>
          <w:szCs w:val="28"/>
        </w:rPr>
        <w:t xml:space="preserve"> 120 минут посвятить выполнению практических заданий. Из 10 заданий 1-го блока 8 заданий базового уровня и 2 повышенной сложности. Во втором блоке количество задач с высоким уровнем сложности - 2, но также имеются практические задачи базового и повышенного уровня, в количестве 2 и 1 соответственно.</w:t>
      </w:r>
    </w:p>
    <w:p w:rsidR="00C45620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 xml:space="preserve">Все задания будут приблизительно равномерно распределены между тремя основными темами: математические основы; </w:t>
      </w:r>
      <w:r w:rsidR="00C45620">
        <w:rPr>
          <w:sz w:val="28"/>
          <w:szCs w:val="28"/>
          <w:lang w:val="sah-RU"/>
        </w:rPr>
        <w:t>и</w:t>
      </w:r>
      <w:proofErr w:type="spellStart"/>
      <w:r w:rsidRPr="00707CA4">
        <w:rPr>
          <w:sz w:val="28"/>
          <w:szCs w:val="28"/>
        </w:rPr>
        <w:t>нформационные</w:t>
      </w:r>
      <w:proofErr w:type="spellEnd"/>
      <w:r w:rsidRPr="00707CA4">
        <w:rPr>
          <w:sz w:val="28"/>
          <w:szCs w:val="28"/>
        </w:rPr>
        <w:t xml:space="preserve"> технологии; </w:t>
      </w:r>
      <w:r w:rsidR="009438CB">
        <w:rPr>
          <w:sz w:val="28"/>
          <w:szCs w:val="28"/>
          <w:lang w:val="sah-RU"/>
        </w:rPr>
        <w:t>а</w:t>
      </w:r>
      <w:proofErr w:type="spellStart"/>
      <w:r w:rsidRPr="00707CA4">
        <w:rPr>
          <w:sz w:val="28"/>
          <w:szCs w:val="28"/>
        </w:rPr>
        <w:t>лгоритмизация</w:t>
      </w:r>
      <w:proofErr w:type="spellEnd"/>
      <w:r w:rsidRPr="00707CA4">
        <w:rPr>
          <w:sz w:val="28"/>
          <w:szCs w:val="28"/>
        </w:rPr>
        <w:t xml:space="preserve"> и программирование.</w:t>
      </w:r>
    </w:p>
    <w:p w:rsidR="00707CA4" w:rsidRPr="00707CA4" w:rsidRDefault="00707CA4" w:rsidP="00707CA4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 w:rsidRPr="00707CA4">
        <w:rPr>
          <w:sz w:val="28"/>
          <w:szCs w:val="28"/>
        </w:rPr>
        <w:t xml:space="preserve">Некоторые задания в 2020 году будут подобны прошлогодним, но в новых </w:t>
      </w:r>
      <w:proofErr w:type="spellStart"/>
      <w:r w:rsidRPr="00707CA4">
        <w:rPr>
          <w:sz w:val="28"/>
          <w:szCs w:val="28"/>
        </w:rPr>
        <w:t>КИМах</w:t>
      </w:r>
      <w:proofErr w:type="spellEnd"/>
      <w:r w:rsidRPr="00707CA4">
        <w:rPr>
          <w:sz w:val="28"/>
          <w:szCs w:val="28"/>
        </w:rPr>
        <w:t xml:space="preserve"> в них </w:t>
      </w:r>
      <w:r w:rsidRPr="004A1A76">
        <w:rPr>
          <w:b/>
          <w:sz w:val="28"/>
          <w:szCs w:val="28"/>
        </w:rPr>
        <w:t>уже не будет готовых вариантов ответа</w:t>
      </w:r>
      <w:r w:rsidRPr="00707CA4">
        <w:rPr>
          <w:sz w:val="28"/>
          <w:szCs w:val="28"/>
        </w:rPr>
        <w:t>, что исключает решение задачи путем банальной подстановки чисел.</w:t>
      </w:r>
      <w:proofErr w:type="gramEnd"/>
    </w:p>
    <w:p w:rsidR="00707CA4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  <w:lang w:val="sah-RU"/>
        </w:rPr>
        <w:t xml:space="preserve">Новая модель КИМ ОГЭ предполагает расширение контролируемых элементов содержания по разделу «Информационные технологии». Во вторую часть работы включены </w:t>
      </w:r>
      <w:r w:rsidRPr="004A1A76">
        <w:rPr>
          <w:b/>
          <w:sz w:val="28"/>
          <w:szCs w:val="28"/>
          <w:lang w:val="sah-RU"/>
        </w:rPr>
        <w:t>качественно новые задания</w:t>
      </w:r>
      <w:r w:rsidRPr="00707CA4">
        <w:rPr>
          <w:sz w:val="28"/>
          <w:szCs w:val="28"/>
          <w:lang w:val="sah-RU"/>
        </w:rPr>
        <w:t>, которые не были представлены в предыдущей модели КИМ ОГЭ. Например, задания 11, 12, которые ориентированы на проверку сформированности поисковых умений, или задание 13 (13.1, 13.2), направленное на проверку сформированности интеллектуальных и практических умений, необходимых для создания презентации или электронного текста.</w:t>
      </w:r>
    </w:p>
    <w:p w:rsidR="00707CA4" w:rsidRPr="00707CA4" w:rsidRDefault="00707CA4" w:rsidP="00707CA4">
      <w:pPr>
        <w:spacing w:line="300" w:lineRule="auto"/>
        <w:ind w:firstLine="709"/>
        <w:jc w:val="both"/>
        <w:rPr>
          <w:sz w:val="28"/>
          <w:szCs w:val="28"/>
        </w:rPr>
      </w:pPr>
      <w:r w:rsidRPr="00707CA4">
        <w:rPr>
          <w:sz w:val="28"/>
          <w:szCs w:val="28"/>
        </w:rPr>
        <w:t xml:space="preserve">При подготовке к ОГЭ 2020 следует обратить внимание на усвоение теоретических основ информатики, а также на развитие </w:t>
      </w:r>
      <w:proofErr w:type="spellStart"/>
      <w:r w:rsidRPr="00707CA4">
        <w:rPr>
          <w:sz w:val="28"/>
          <w:szCs w:val="28"/>
        </w:rPr>
        <w:t>метапредметной</w:t>
      </w:r>
      <w:proofErr w:type="spellEnd"/>
      <w:r w:rsidRPr="00707CA4">
        <w:rPr>
          <w:sz w:val="28"/>
          <w:szCs w:val="28"/>
        </w:rPr>
        <w:t xml:space="preserve"> способности к логическому мышлению. Как и в любой другой дисциплине, подготовка к ОГЭ 2020 года по предмету «Информатика» предполагает повторение теоретических основ по темам, изученным с 7 по 9 класс, а также наработку практических навыков.</w:t>
      </w:r>
    </w:p>
    <w:p w:rsidR="00707CA4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Если предмет в полном объеме преподавался в школе все эти годы, у выпускников не должно возникнуть проблем с выполнением заданий, предложенных в новом КИМ. Но, для получения максимальной уверенности в собственных силах, стоит: тщательно разобрать демонстрационную версию, представленную на сайте ФИПИ; потренироваться в решении задач, предложенных в базе ГИА-9; проработать билеты 2019 года, так как большинство задач очень близки по формулировке; выделить темы, которые вызывают затруднения и более детально проработать их</w:t>
      </w:r>
      <w:r w:rsidR="00677139">
        <w:rPr>
          <w:sz w:val="28"/>
          <w:szCs w:val="28"/>
          <w:lang w:val="sah-RU"/>
        </w:rPr>
        <w:t>.</w:t>
      </w:r>
    </w:p>
    <w:p w:rsidR="00707CA4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b/>
          <w:sz w:val="28"/>
          <w:szCs w:val="28"/>
        </w:rPr>
        <w:t>Важно!</w:t>
      </w:r>
      <w:r w:rsidRPr="00707CA4">
        <w:rPr>
          <w:sz w:val="28"/>
          <w:szCs w:val="28"/>
        </w:rPr>
        <w:t xml:space="preserve"> Некоторые задачи ОГЭ 2020 потребуют от ученика, заканчивающего 9 класс, не только хорошей ориентации в темах предмета «Информатика», а и умения выполнять математические вычисления</w:t>
      </w:r>
      <w:r w:rsidR="00677139">
        <w:rPr>
          <w:sz w:val="28"/>
          <w:szCs w:val="28"/>
          <w:lang w:val="sah-RU"/>
        </w:rPr>
        <w:t>.</w:t>
      </w:r>
    </w:p>
    <w:p w:rsidR="00707CA4" w:rsidRPr="00707CA4" w:rsidRDefault="00707CA4" w:rsidP="00707CA4">
      <w:pPr>
        <w:spacing w:line="300" w:lineRule="auto"/>
        <w:ind w:firstLine="709"/>
        <w:jc w:val="both"/>
        <w:rPr>
          <w:sz w:val="28"/>
          <w:szCs w:val="28"/>
        </w:rPr>
      </w:pPr>
      <w:r w:rsidRPr="00707CA4">
        <w:rPr>
          <w:sz w:val="28"/>
          <w:szCs w:val="28"/>
        </w:rPr>
        <w:t xml:space="preserve">В ходе выполнения практических заданий ориентируйте обучающихся </w:t>
      </w:r>
      <w:r w:rsidRPr="002A3CFF">
        <w:rPr>
          <w:b/>
          <w:sz w:val="28"/>
          <w:szCs w:val="28"/>
        </w:rPr>
        <w:t>внимательно читать условие</w:t>
      </w:r>
      <w:r w:rsidRPr="00707CA4">
        <w:rPr>
          <w:sz w:val="28"/>
          <w:szCs w:val="28"/>
        </w:rPr>
        <w:t xml:space="preserve">! </w:t>
      </w:r>
      <w:r w:rsidR="009438CB">
        <w:rPr>
          <w:sz w:val="28"/>
          <w:szCs w:val="28"/>
          <w:lang w:val="sah-RU"/>
        </w:rPr>
        <w:t>В</w:t>
      </w:r>
      <w:r w:rsidRPr="00707CA4">
        <w:rPr>
          <w:sz w:val="28"/>
          <w:szCs w:val="28"/>
        </w:rPr>
        <w:t xml:space="preserve">се вычисления, выполняемые в табличном процессоре, должны быть выполнены с применением соответствующих формул или функций. При решении задания №18 потребуется продемонстрировать умение правильно оперировать </w:t>
      </w:r>
      <w:r w:rsidRPr="00707CA4">
        <w:rPr>
          <w:sz w:val="28"/>
          <w:szCs w:val="28"/>
        </w:rPr>
        <w:lastRenderedPageBreak/>
        <w:t>переменными, а также сочетать при написании программы операторы циклов и ветвления</w:t>
      </w:r>
    </w:p>
    <w:p w:rsidR="00707CA4" w:rsidRPr="00707CA4" w:rsidRDefault="00707CA4" w:rsidP="00707CA4">
      <w:pPr>
        <w:spacing w:line="300" w:lineRule="auto"/>
        <w:ind w:firstLine="709"/>
        <w:rPr>
          <w:b/>
          <w:sz w:val="28"/>
          <w:szCs w:val="28"/>
        </w:rPr>
      </w:pPr>
      <w:r w:rsidRPr="00707CA4">
        <w:rPr>
          <w:b/>
          <w:sz w:val="28"/>
          <w:szCs w:val="28"/>
        </w:rPr>
        <w:t>Основные темы для разбора</w:t>
      </w:r>
    </w:p>
    <w:p w:rsidR="004A1A76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•Количественные пар</w:t>
      </w:r>
      <w:r w:rsidR="00677139">
        <w:rPr>
          <w:sz w:val="28"/>
          <w:szCs w:val="28"/>
        </w:rPr>
        <w:t>аметры информационных объектов</w:t>
      </w:r>
      <w:r w:rsidR="00677139">
        <w:rPr>
          <w:sz w:val="28"/>
          <w:szCs w:val="28"/>
          <w:lang w:val="sah-RU"/>
        </w:rPr>
        <w:t>;</w:t>
      </w:r>
    </w:p>
    <w:p w:rsidR="004A1A76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•Кодирование и декодирование информации</w:t>
      </w:r>
      <w:r w:rsidR="00677139">
        <w:rPr>
          <w:sz w:val="28"/>
          <w:szCs w:val="28"/>
          <w:lang w:val="sah-RU"/>
        </w:rPr>
        <w:t>;</w:t>
      </w:r>
      <w:r w:rsidRPr="00707CA4">
        <w:rPr>
          <w:sz w:val="28"/>
          <w:szCs w:val="28"/>
        </w:rPr>
        <w:t xml:space="preserve"> </w:t>
      </w:r>
    </w:p>
    <w:p w:rsidR="004A1A76" w:rsidRPr="00677139" w:rsidRDefault="00677139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>
        <w:rPr>
          <w:sz w:val="28"/>
          <w:szCs w:val="28"/>
        </w:rPr>
        <w:t>•Значение логического выражения</w:t>
      </w:r>
      <w:r>
        <w:rPr>
          <w:sz w:val="28"/>
          <w:szCs w:val="28"/>
          <w:lang w:val="sah-RU"/>
        </w:rPr>
        <w:t>;</w:t>
      </w:r>
    </w:p>
    <w:p w:rsidR="004A1A76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•Формальные описани</w:t>
      </w:r>
      <w:r w:rsidR="00677139">
        <w:rPr>
          <w:sz w:val="28"/>
          <w:szCs w:val="28"/>
        </w:rPr>
        <w:t>я реальных объектов и процессов</w:t>
      </w:r>
      <w:r w:rsidR="00677139">
        <w:rPr>
          <w:sz w:val="28"/>
          <w:szCs w:val="28"/>
          <w:lang w:val="sah-RU"/>
        </w:rPr>
        <w:t>;</w:t>
      </w:r>
    </w:p>
    <w:p w:rsidR="004A1A76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•Простой линейный алгор</w:t>
      </w:r>
      <w:r w:rsidR="00677139">
        <w:rPr>
          <w:sz w:val="28"/>
          <w:szCs w:val="28"/>
        </w:rPr>
        <w:t>итм для формального исполнителя</w:t>
      </w:r>
      <w:r w:rsidR="00677139">
        <w:rPr>
          <w:sz w:val="28"/>
          <w:szCs w:val="28"/>
          <w:lang w:val="sah-RU"/>
        </w:rPr>
        <w:t>;</w:t>
      </w:r>
    </w:p>
    <w:p w:rsidR="004A1A76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</w:t>
      </w:r>
      <w:r w:rsidR="00677139">
        <w:rPr>
          <w:sz w:val="28"/>
          <w:szCs w:val="28"/>
        </w:rPr>
        <w:t>Программа с условным оператором</w:t>
      </w:r>
      <w:r w:rsidR="00677139">
        <w:rPr>
          <w:sz w:val="28"/>
          <w:szCs w:val="28"/>
          <w:lang w:val="sah-RU"/>
        </w:rPr>
        <w:t>;</w:t>
      </w:r>
    </w:p>
    <w:p w:rsidR="004A1A76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•Информационно-коммуникационные технологии</w:t>
      </w:r>
      <w:r w:rsidR="00677139">
        <w:rPr>
          <w:sz w:val="28"/>
          <w:szCs w:val="28"/>
          <w:lang w:val="sah-RU"/>
        </w:rPr>
        <w:t>;</w:t>
      </w:r>
    </w:p>
    <w:p w:rsidR="00707CA4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•Запросы для поисковых систем с использованием логических выражений</w:t>
      </w:r>
      <w:r w:rsidR="00677139">
        <w:rPr>
          <w:sz w:val="28"/>
          <w:szCs w:val="28"/>
          <w:lang w:val="sah-RU"/>
        </w:rPr>
        <w:t>;</w:t>
      </w:r>
    </w:p>
    <w:p w:rsidR="004A1A76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</w:t>
      </w:r>
      <w:proofErr w:type="spellStart"/>
      <w:r w:rsidRPr="00707CA4">
        <w:rPr>
          <w:sz w:val="28"/>
          <w:szCs w:val="28"/>
        </w:rPr>
        <w:t>Анализирование</w:t>
      </w:r>
      <w:proofErr w:type="spellEnd"/>
      <w:r w:rsidRPr="00707CA4">
        <w:rPr>
          <w:sz w:val="28"/>
          <w:szCs w:val="28"/>
        </w:rPr>
        <w:t xml:space="preserve"> информации, представленной в виде схем</w:t>
      </w:r>
      <w:r w:rsidR="00677139">
        <w:rPr>
          <w:sz w:val="28"/>
          <w:szCs w:val="28"/>
          <w:lang w:val="sah-RU"/>
        </w:rPr>
        <w:t>;</w:t>
      </w:r>
    </w:p>
    <w:p w:rsidR="00707CA4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•Сравнение чисел</w:t>
      </w:r>
      <w:r w:rsidR="00677139">
        <w:rPr>
          <w:sz w:val="28"/>
          <w:szCs w:val="28"/>
        </w:rPr>
        <w:t xml:space="preserve"> в различных системах счисления</w:t>
      </w:r>
      <w:r w:rsidR="00677139">
        <w:rPr>
          <w:sz w:val="28"/>
          <w:szCs w:val="28"/>
          <w:lang w:val="sah-RU"/>
        </w:rPr>
        <w:t>;</w:t>
      </w:r>
    </w:p>
    <w:p w:rsidR="00707CA4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•Использование поисковых средств операционной</w:t>
      </w:r>
      <w:r w:rsidR="00677139">
        <w:rPr>
          <w:sz w:val="28"/>
          <w:szCs w:val="28"/>
        </w:rPr>
        <w:t xml:space="preserve"> системы и текстового редактора</w:t>
      </w:r>
      <w:r w:rsidR="00677139">
        <w:rPr>
          <w:sz w:val="28"/>
          <w:szCs w:val="28"/>
          <w:lang w:val="sah-RU"/>
        </w:rPr>
        <w:t>;</w:t>
      </w:r>
    </w:p>
    <w:p w:rsidR="004A1A76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•Использование поисков</w:t>
      </w:r>
      <w:r w:rsidR="00677139">
        <w:rPr>
          <w:sz w:val="28"/>
          <w:szCs w:val="28"/>
        </w:rPr>
        <w:t>ых средств операционной системы</w:t>
      </w:r>
      <w:r w:rsidR="00677139">
        <w:rPr>
          <w:sz w:val="28"/>
          <w:szCs w:val="28"/>
          <w:lang w:val="sah-RU"/>
        </w:rPr>
        <w:t>;</w:t>
      </w:r>
    </w:p>
    <w:p w:rsidR="004A1A76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•Создание презен</w:t>
      </w:r>
      <w:r w:rsidR="00677139">
        <w:rPr>
          <w:sz w:val="28"/>
          <w:szCs w:val="28"/>
        </w:rPr>
        <w:t>тации или форматирование текста</w:t>
      </w:r>
      <w:r w:rsidR="00677139">
        <w:rPr>
          <w:sz w:val="28"/>
          <w:szCs w:val="28"/>
          <w:lang w:val="sah-RU"/>
        </w:rPr>
        <w:t>;</w:t>
      </w:r>
    </w:p>
    <w:p w:rsidR="00707CA4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•Обработка большого массива данных с использованием средств элек</w:t>
      </w:r>
      <w:r w:rsidR="00677139">
        <w:rPr>
          <w:sz w:val="28"/>
          <w:szCs w:val="28"/>
        </w:rPr>
        <w:t>тронной таблицы или базы данных</w:t>
      </w:r>
      <w:r w:rsidR="00677139">
        <w:rPr>
          <w:sz w:val="28"/>
          <w:szCs w:val="28"/>
          <w:lang w:val="sah-RU"/>
        </w:rPr>
        <w:t>;</w:t>
      </w:r>
    </w:p>
    <w:p w:rsidR="00707CA4" w:rsidRPr="00677139" w:rsidRDefault="00707CA4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707CA4">
        <w:rPr>
          <w:sz w:val="28"/>
          <w:szCs w:val="28"/>
        </w:rPr>
        <w:t>•Короткий алгоритм в среде формального исполнителя или на языке программирования</w:t>
      </w:r>
      <w:r w:rsidR="00677139">
        <w:rPr>
          <w:sz w:val="28"/>
          <w:szCs w:val="28"/>
          <w:lang w:val="sah-RU"/>
        </w:rPr>
        <w:t>.</w:t>
      </w:r>
    </w:p>
    <w:p w:rsidR="004A1A76" w:rsidRDefault="004A1A76" w:rsidP="00707CA4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</w:p>
    <w:p w:rsidR="002A3CFF" w:rsidRPr="002A3CFF" w:rsidRDefault="009438CB" w:rsidP="002A3CFF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sah-RU"/>
        </w:rPr>
        <w:t>Обращаем внимание на т</w:t>
      </w:r>
      <w:proofErr w:type="spellStart"/>
      <w:r w:rsidR="002A3CFF" w:rsidRPr="002A3CFF">
        <w:rPr>
          <w:sz w:val="28"/>
          <w:szCs w:val="28"/>
        </w:rPr>
        <w:t>ипичны</w:t>
      </w:r>
      <w:proofErr w:type="spellEnd"/>
      <w:r>
        <w:rPr>
          <w:sz w:val="28"/>
          <w:szCs w:val="28"/>
          <w:lang w:val="sah-RU"/>
        </w:rPr>
        <w:t>е ошибки</w:t>
      </w:r>
      <w:r w:rsidR="002A3CFF" w:rsidRPr="002A3CFF">
        <w:rPr>
          <w:sz w:val="28"/>
          <w:szCs w:val="28"/>
        </w:rPr>
        <w:t xml:space="preserve"> выпускников девятых классов при выполнении заданий с развернутым ответом: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• неверная сортировка и фильтрация массива данных с использованием электронной таблицы;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• ошибки в представлении чисел при вычислении среднего значения;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• неправильные или частично выполненные расчеты;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• в алгоритме движения робота предлагается решение без использования цикла «Пока»;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• не учитывается, что стены имеют произвольную длину, и предлагается решение только для конкретного лабиринта;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• неправильная работа программы;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• синтаксические ошибки в программе или неправильно записанный оператор.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РЕКОМЕНДАЦИИ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Рекомендуется использование учебной среды исполнителя «Робот» (задание С</w:t>
      </w:r>
      <w:proofErr w:type="gramStart"/>
      <w:r w:rsidRPr="002A3CFF">
        <w:rPr>
          <w:sz w:val="28"/>
          <w:szCs w:val="28"/>
        </w:rPr>
        <w:t>2</w:t>
      </w:r>
      <w:proofErr w:type="gramEnd"/>
      <w:r w:rsidRPr="002A3CFF">
        <w:rPr>
          <w:sz w:val="28"/>
          <w:szCs w:val="28"/>
        </w:rPr>
        <w:t>). В качестве такой среды может использоваться, например, учебная среда разработки «Кумир», разработанная в НИИСИ РАН (http://www.niisi.ru/kumir) или любая другая среда, позволяющая моделировать исполнителя «Робот».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Следует на занятиях при проверке заданий для исполнителя «Робот» изменять стартовую обстановку, т. е. изменять, например, размеры линий, вдоль которых движется исполнитель, количество ступеней и т. д. Тогда обучающийся не будет решать только частный случай задания.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Следует обратить внимание, что на занятиях необходимо давать задания на обработку большого</w:t>
      </w:r>
      <w:r w:rsidR="009438CB">
        <w:rPr>
          <w:sz w:val="28"/>
          <w:szCs w:val="28"/>
          <w:lang w:val="sah-RU"/>
        </w:rPr>
        <w:t xml:space="preserve"> </w:t>
      </w:r>
      <w:r w:rsidRPr="002A3CFF">
        <w:rPr>
          <w:sz w:val="28"/>
          <w:szCs w:val="28"/>
        </w:rPr>
        <w:t>(!) массива данных с использованием средств электронной таблицы, т.е. не 10—15 строк, а несколько сотен, приближая к вариантам ОГЭ.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Следует обратить особое внимание на заполнение бланков ответов</w:t>
      </w:r>
      <w:r w:rsidR="004E1DBF">
        <w:rPr>
          <w:sz w:val="28"/>
          <w:szCs w:val="28"/>
          <w:lang w:val="sah-RU"/>
        </w:rPr>
        <w:t xml:space="preserve">. </w:t>
      </w:r>
      <w:r w:rsidRPr="002A3CFF">
        <w:rPr>
          <w:sz w:val="28"/>
          <w:szCs w:val="28"/>
        </w:rPr>
        <w:t>Если бланки пустые (а такое бывает!), то проверке файлы не подлежат.</w:t>
      </w:r>
    </w:p>
    <w:p w:rsidR="004E1DBF" w:rsidRDefault="002A3CFF" w:rsidP="002A3CFF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2A3CFF">
        <w:rPr>
          <w:sz w:val="28"/>
          <w:szCs w:val="28"/>
        </w:rPr>
        <w:t>Рекомендуется использовать для подготовки к ОГЭ открытый банк заданий ФИПИ</w:t>
      </w:r>
      <w:r w:rsidR="004E1DBF">
        <w:rPr>
          <w:sz w:val="28"/>
          <w:szCs w:val="28"/>
          <w:lang w:val="sah-RU"/>
        </w:rPr>
        <w:t>.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Необходимо заранее познакомить учащихся с критериями оценивания работ ОГЭ.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В процессе обучения следует оценивать работы учащихся, следуя критериям ОГЭ.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 xml:space="preserve">При подготовке к ГИА 2020 года по информатике следует обратить внимание на такую фундаментальную тему курса информатики, как «Алфавитный подход к измерению количества информации», по-видимому, изучается недостаточно глубоко в значительном количестве образовательных организаций. Рекомендуется максимально математически строгое (насколько это возможно в пределах школьного курса) изложение этой темы с обязательной четкой формулировкой определений, доказательством формул и фактов, применяемых в решении задач, в сочетании с иллюстрированием теоретического материала примерами. При рассмотрении двоичного алфавита необходимо демонстрировать обучающимся глубокую связь темы «Алфавитный подход к измерению количества информации» с темой «Двоичная система счисления», чтобы последняя не воспринималась </w:t>
      </w:r>
      <w:proofErr w:type="gramStart"/>
      <w:r w:rsidRPr="002A3CFF">
        <w:rPr>
          <w:sz w:val="28"/>
          <w:szCs w:val="28"/>
        </w:rPr>
        <w:t>обучающимися</w:t>
      </w:r>
      <w:proofErr w:type="gramEnd"/>
      <w:r w:rsidRPr="002A3CFF">
        <w:rPr>
          <w:sz w:val="28"/>
          <w:szCs w:val="28"/>
        </w:rPr>
        <w:t xml:space="preserve"> как имеющая отношение лишь к особенностям реализации компьютерных логических схем. 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 xml:space="preserve">Также необходимо подробно рассмотреть важную с точки зрения измерения количества информации тему “Кодирования информации сообщениями фиксированной длины над заданным алфавитом”. </w:t>
      </w:r>
      <w:proofErr w:type="gramStart"/>
      <w:r w:rsidRPr="002A3CFF">
        <w:rPr>
          <w:sz w:val="28"/>
          <w:szCs w:val="28"/>
        </w:rPr>
        <w:t>При этом следует добиться полного понимания обучающимися комбинаторной формулы, выражающей зависимость количества возможных кодовых слов от мощности алфавита и длины слова, а не ее механического заучивания, которое может оказаться бесполезным при изменении постановки задачи.</w:t>
      </w:r>
      <w:proofErr w:type="gramEnd"/>
      <w:r w:rsidRPr="002A3CFF">
        <w:rPr>
          <w:sz w:val="28"/>
          <w:szCs w:val="28"/>
        </w:rPr>
        <w:t xml:space="preserve"> Также важно обращать внимание обучающихся на связь этой темы с использованием позиционных систем счисления с основанием, равным мощности алфавита. 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В рамках подготовки к ОГЭ для обучающихся 9 классов учителю необходимо: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1.  С организационной точки зрения: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 w:rsidRPr="002A3CFF">
        <w:rPr>
          <w:sz w:val="28"/>
          <w:szCs w:val="28"/>
        </w:rPr>
        <w:t>•</w:t>
      </w:r>
      <w:r w:rsidRPr="002A3CFF">
        <w:rPr>
          <w:sz w:val="28"/>
          <w:szCs w:val="28"/>
        </w:rPr>
        <w:tab/>
        <w:t xml:space="preserve">изучить нормативные правовые документы, регламентирующие проведение ОГЭ обучающихся 9 классов общеобразовательных учреждений; изучить спецификацию, кодификатор и рекомендации по оцениванию результатов экзамена; ознакомиться с анализом результатов проведения экзамена по информатике и ИКТ за 2014-2019 годы; изучить регламент проведения экзамена; познакомить с ним и бланком ответов учащихся, </w:t>
      </w:r>
      <w:r w:rsidRPr="002A3CFF">
        <w:rPr>
          <w:sz w:val="28"/>
          <w:szCs w:val="28"/>
        </w:rPr>
        <w:lastRenderedPageBreak/>
        <w:t>выбравших информатику и ИКТ для сдачи ОГЭ;</w:t>
      </w:r>
      <w:proofErr w:type="gramEnd"/>
      <w:r w:rsidRPr="002A3CFF">
        <w:rPr>
          <w:sz w:val="28"/>
          <w:szCs w:val="28"/>
        </w:rPr>
        <w:t xml:space="preserve"> </w:t>
      </w:r>
      <w:proofErr w:type="gramStart"/>
      <w:r w:rsidRPr="002A3CFF">
        <w:rPr>
          <w:sz w:val="28"/>
          <w:szCs w:val="28"/>
        </w:rPr>
        <w:t xml:space="preserve">при составлении рабочих программ (календарно-тематического и поурочного планирований) учитывать необходимость выделения времени </w:t>
      </w:r>
      <w:r w:rsidR="004E1DBF" w:rsidRPr="002A3CFF">
        <w:rPr>
          <w:sz w:val="28"/>
          <w:szCs w:val="28"/>
        </w:rPr>
        <w:t>для повторения и закрепления наиболее значимых и сложных тем уче</w:t>
      </w:r>
      <w:r w:rsidR="004E1DBF">
        <w:rPr>
          <w:sz w:val="28"/>
          <w:szCs w:val="28"/>
        </w:rPr>
        <w:t>бного курса «Информатика и ИКТ»</w:t>
      </w:r>
      <w:r w:rsidR="004E1DBF">
        <w:rPr>
          <w:sz w:val="28"/>
          <w:szCs w:val="28"/>
          <w:lang w:val="sah-RU"/>
        </w:rPr>
        <w:t xml:space="preserve"> </w:t>
      </w:r>
      <w:r w:rsidRPr="002A3CFF">
        <w:rPr>
          <w:sz w:val="28"/>
          <w:szCs w:val="28"/>
        </w:rPr>
        <w:t xml:space="preserve">как во время проведения урока, так и во время обобщающего повторения; при организации изучения очередной темы предусматривать </w:t>
      </w:r>
      <w:proofErr w:type="spellStart"/>
      <w:r w:rsidRPr="002A3CFF">
        <w:rPr>
          <w:sz w:val="28"/>
          <w:szCs w:val="28"/>
        </w:rPr>
        <w:t>разноуровневые</w:t>
      </w:r>
      <w:proofErr w:type="spellEnd"/>
      <w:r w:rsidRPr="002A3CFF">
        <w:rPr>
          <w:sz w:val="28"/>
          <w:szCs w:val="28"/>
        </w:rPr>
        <w:t xml:space="preserve"> задания для обучающихся, выбравших информатику для сдачи ОГЭ, и остальных учеников класса;</w:t>
      </w:r>
      <w:proofErr w:type="gramEnd"/>
      <w:r w:rsidRPr="002A3CFF">
        <w:rPr>
          <w:sz w:val="28"/>
          <w:szCs w:val="28"/>
        </w:rPr>
        <w:t xml:space="preserve"> </w:t>
      </w:r>
      <w:proofErr w:type="gramStart"/>
      <w:r w:rsidRPr="002A3CFF">
        <w:rPr>
          <w:sz w:val="28"/>
          <w:szCs w:val="28"/>
        </w:rPr>
        <w:t>обучающимся</w:t>
      </w:r>
      <w:proofErr w:type="gramEnd"/>
      <w:r w:rsidRPr="002A3CFF">
        <w:rPr>
          <w:sz w:val="28"/>
          <w:szCs w:val="28"/>
        </w:rPr>
        <w:t xml:space="preserve"> из группы сдающих следует предлагать дополнительный набор задач для отработки навыков их решения.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2.  С содержательной точки зрения: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•</w:t>
      </w:r>
      <w:r w:rsidRPr="002A3CFF">
        <w:rPr>
          <w:sz w:val="28"/>
          <w:szCs w:val="28"/>
        </w:rPr>
        <w:tab/>
        <w:t xml:space="preserve">обратить особое внимание на преподавание и контроль знаний при изучении таких тем курса, как «Алгоритмы и исполнители», «Представление и обработка информации в электронных таблицах», «Представление информации», «Основы логики», «Кодирование информации», «Файлы и файловая структура»; </w:t>
      </w:r>
      <w:proofErr w:type="gramStart"/>
      <w:r w:rsidRPr="002A3CFF">
        <w:rPr>
          <w:sz w:val="28"/>
          <w:szCs w:val="28"/>
        </w:rPr>
        <w:t>сформировать базу тестовых заданий с учетом открытого банка заданий на ФИПИ с четкими немногосложными формулировками, включающими понятную для обучающихся терминологию, для отработки навыков выполнения тестовых заданий; выстроить систему контроля, используя задания, аналогичные заданиям экзаменационных материалов; при подготовке обучающихся по разделу курса «Алгоритмы и исполнители» обратить особое внимание на запись алгоритма исполнителя, как на формальном, так и на естественном языке;</w:t>
      </w:r>
      <w:proofErr w:type="gramEnd"/>
      <w:r w:rsidRPr="002A3CFF">
        <w:rPr>
          <w:sz w:val="28"/>
          <w:szCs w:val="28"/>
        </w:rPr>
        <w:t xml:space="preserve"> при изучении раздела «Алгоритмы и исполнители» необходимо познакомить </w:t>
      </w:r>
      <w:proofErr w:type="gramStart"/>
      <w:r w:rsidRPr="002A3CFF">
        <w:rPr>
          <w:sz w:val="28"/>
          <w:szCs w:val="28"/>
        </w:rPr>
        <w:t>обучающихся</w:t>
      </w:r>
      <w:proofErr w:type="gramEnd"/>
      <w:r w:rsidRPr="002A3CFF">
        <w:rPr>
          <w:sz w:val="28"/>
          <w:szCs w:val="28"/>
        </w:rPr>
        <w:t xml:space="preserve"> с различными формальными исполнителями: Черепашка, Робот, Чертежник, Муравей, Вычислитель; при изучении исполнителя Робот необходимо рассматривать задачи с неопределенной длиной препятствий, которые необходимо обойти Роботу, на бесконечном поле, т.е. не опираясь на границы поля; кроме алгоритмов обхода стены, следует знакомить обучающихся с принципами построения алгоритма движения Робота по ступенькам; предпочтение отдается циклическим алгоритмам;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•</w:t>
      </w:r>
      <w:r w:rsidRPr="002A3CFF">
        <w:rPr>
          <w:sz w:val="28"/>
          <w:szCs w:val="28"/>
        </w:rPr>
        <w:tab/>
        <w:t xml:space="preserve">добиваться понимания управления исполнителем, умение выделить повторяющийся фрагмент действий для дальнейшего представления в цикле; при рассмотрении разделов курса «Обработка числовой информации» и «Технология поиска и хранения информации» </w:t>
      </w:r>
      <w:r w:rsidRPr="002A3CFF">
        <w:rPr>
          <w:sz w:val="28"/>
          <w:szCs w:val="28"/>
        </w:rPr>
        <w:lastRenderedPageBreak/>
        <w:t>акцентировать внимание обучающихся на использовании логических выражений и построении простейших логических таблиц как одной из форм работы с логическими выражениями; в рамках рассмотрения разделов курса «Представление информации», «Кодирование информации» необходимо отрабатывать у обучающихся навыки выполнения простых вычислений, в том числе со степенями двойки, без помощи калькулятора и компьютера: 20 = 1, 21 = 2, … 210 = 1024. обращать внимание обучающихся на широкий спектр задач по каждой теме; отрабатывать с обучающимися навыки сохранения файлов с указанным именем и расширением, так как ошибки в имени файла приводят к сбою в процессе проверки заданий экспертами.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 xml:space="preserve">При подготовке обучающихся к </w:t>
      </w:r>
      <w:r w:rsidR="004E1DBF">
        <w:rPr>
          <w:sz w:val="28"/>
          <w:szCs w:val="28"/>
          <w:lang w:val="sah-RU"/>
        </w:rPr>
        <w:t>О</w:t>
      </w:r>
      <w:r w:rsidRPr="002A3CFF">
        <w:rPr>
          <w:sz w:val="28"/>
          <w:szCs w:val="28"/>
        </w:rPr>
        <w:t xml:space="preserve">ГЭ 2020 г., так же, как и в прошлые годы, следует обратить особое внимание на усвоение теоретических основ информатики, в том числе раздела «Основы логики», с учетом тесных </w:t>
      </w:r>
      <w:proofErr w:type="spellStart"/>
      <w:r w:rsidRPr="002A3CFF">
        <w:rPr>
          <w:sz w:val="28"/>
          <w:szCs w:val="28"/>
        </w:rPr>
        <w:t>межпредметных</w:t>
      </w:r>
      <w:proofErr w:type="spellEnd"/>
      <w:r w:rsidRPr="002A3CFF">
        <w:rPr>
          <w:sz w:val="28"/>
          <w:szCs w:val="28"/>
        </w:rPr>
        <w:t xml:space="preserve"> связей информатики с математикой, а также на развитие </w:t>
      </w:r>
      <w:proofErr w:type="spellStart"/>
      <w:r w:rsidRPr="002A3CFF">
        <w:rPr>
          <w:sz w:val="28"/>
          <w:szCs w:val="28"/>
        </w:rPr>
        <w:t>метапредметной</w:t>
      </w:r>
      <w:proofErr w:type="spellEnd"/>
      <w:r w:rsidRPr="002A3CFF">
        <w:rPr>
          <w:sz w:val="28"/>
          <w:szCs w:val="28"/>
        </w:rPr>
        <w:t xml:space="preserve"> способности к логическому мышлению. </w:t>
      </w:r>
    </w:p>
    <w:p w:rsidR="002A3CFF" w:rsidRPr="002A3CFF" w:rsidRDefault="002A3CFF" w:rsidP="002A3CFF">
      <w:pPr>
        <w:spacing w:line="300" w:lineRule="auto"/>
        <w:ind w:firstLine="709"/>
        <w:jc w:val="both"/>
        <w:rPr>
          <w:sz w:val="28"/>
          <w:szCs w:val="28"/>
        </w:rPr>
      </w:pPr>
      <w:r w:rsidRPr="002A3CFF">
        <w:rPr>
          <w:sz w:val="28"/>
          <w:szCs w:val="28"/>
        </w:rPr>
        <w:t>Устранение указанных выше проблем, выявленных при проведении экзаменов, при обучении предмету позволит повысить качество подготовки учащихся к прохождению государственной итоговой аттестации.</w:t>
      </w:r>
    </w:p>
    <w:p w:rsidR="001B2EC5" w:rsidRDefault="001B2EC5">
      <w:pPr>
        <w:rPr>
          <w:lang w:val="sah-RU"/>
        </w:rPr>
      </w:pPr>
    </w:p>
    <w:p w:rsidR="001B2EC5" w:rsidRPr="00936E30" w:rsidRDefault="001B2EC5" w:rsidP="001B2EC5">
      <w:pPr>
        <w:ind w:firstLine="709"/>
        <w:jc w:val="both"/>
        <w:rPr>
          <w:b/>
          <w:sz w:val="28"/>
          <w:szCs w:val="28"/>
          <w:lang w:val="sah-RU"/>
        </w:rPr>
      </w:pPr>
      <w:r w:rsidRPr="00707CA4">
        <w:rPr>
          <w:b/>
          <w:sz w:val="28"/>
          <w:szCs w:val="28"/>
          <w:lang w:val="sah-RU"/>
        </w:rPr>
        <w:t>Источники информации</w:t>
      </w:r>
      <w:r w:rsidRPr="00936E30">
        <w:rPr>
          <w:b/>
          <w:sz w:val="28"/>
          <w:szCs w:val="28"/>
          <w:lang w:val="sah-RU"/>
        </w:rPr>
        <w:t>:</w:t>
      </w:r>
    </w:p>
    <w:p w:rsidR="001B2EC5" w:rsidRPr="00ED182D" w:rsidRDefault="001B2EC5" w:rsidP="001B2EC5">
      <w:pPr>
        <w:ind w:firstLine="709"/>
        <w:jc w:val="both"/>
        <w:rPr>
          <w:sz w:val="28"/>
          <w:szCs w:val="28"/>
          <w:lang w:val="sah-RU"/>
        </w:rPr>
      </w:pPr>
    </w:p>
    <w:p w:rsidR="001B2EC5" w:rsidRPr="00ED182D" w:rsidRDefault="001B2EC5" w:rsidP="001B2EC5">
      <w:pPr>
        <w:pStyle w:val="a3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>http://www.fipi.ru</w:t>
      </w:r>
      <w:r>
        <w:rPr>
          <w:rFonts w:ascii="Times New Roman" w:hAnsi="Times New Roman"/>
          <w:sz w:val="28"/>
          <w:szCs w:val="28"/>
          <w:lang w:val="sah-RU"/>
        </w:rPr>
        <w:t xml:space="preserve"> - </w:t>
      </w:r>
      <w:r w:rsidRPr="00ED182D">
        <w:rPr>
          <w:rFonts w:ascii="Times New Roman" w:hAnsi="Times New Roman"/>
          <w:sz w:val="28"/>
          <w:szCs w:val="28"/>
        </w:rPr>
        <w:t xml:space="preserve">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2019 года </w:t>
      </w:r>
    </w:p>
    <w:p w:rsidR="001B2EC5" w:rsidRPr="00ED182D" w:rsidRDefault="001B2EC5" w:rsidP="001B2EC5">
      <w:pPr>
        <w:pStyle w:val="a3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>http://www.fipi.ru</w:t>
      </w:r>
      <w:r>
        <w:rPr>
          <w:rFonts w:ascii="Times New Roman" w:hAnsi="Times New Roman"/>
          <w:sz w:val="28"/>
          <w:szCs w:val="28"/>
          <w:lang w:val="sah-RU"/>
        </w:rPr>
        <w:t xml:space="preserve"> - </w:t>
      </w:r>
      <w:r w:rsidRPr="00ED182D">
        <w:rPr>
          <w:rFonts w:ascii="Times New Roman" w:hAnsi="Times New Roman"/>
          <w:sz w:val="28"/>
          <w:szCs w:val="28"/>
        </w:rPr>
        <w:t xml:space="preserve">Материалы </w:t>
      </w:r>
      <w:r>
        <w:rPr>
          <w:rFonts w:ascii="Times New Roman" w:hAnsi="Times New Roman"/>
          <w:sz w:val="28"/>
          <w:szCs w:val="28"/>
          <w:lang w:val="sah-RU"/>
        </w:rPr>
        <w:t>ФГБНУ “</w:t>
      </w:r>
      <w:r w:rsidRPr="00ED182D">
        <w:rPr>
          <w:rFonts w:ascii="Times New Roman" w:hAnsi="Times New Roman"/>
          <w:sz w:val="28"/>
          <w:szCs w:val="28"/>
        </w:rPr>
        <w:t>ФИПИ</w:t>
      </w:r>
      <w:r>
        <w:rPr>
          <w:rFonts w:ascii="Times New Roman" w:hAnsi="Times New Roman"/>
          <w:sz w:val="28"/>
          <w:szCs w:val="28"/>
          <w:lang w:val="sah-RU"/>
        </w:rPr>
        <w:t>”</w:t>
      </w:r>
      <w:r w:rsidRPr="00ED182D">
        <w:rPr>
          <w:rFonts w:ascii="Times New Roman" w:hAnsi="Times New Roman"/>
          <w:sz w:val="28"/>
          <w:szCs w:val="28"/>
        </w:rPr>
        <w:t>: справочные материалы, кодификатор, спецификация, д</w:t>
      </w:r>
      <w:r w:rsidR="004A1A76">
        <w:rPr>
          <w:rFonts w:ascii="Times New Roman" w:hAnsi="Times New Roman"/>
          <w:sz w:val="28"/>
          <w:szCs w:val="28"/>
        </w:rPr>
        <w:t>емонстрационная версия КИМ ОГЭ</w:t>
      </w:r>
      <w:r w:rsidR="004A1A76">
        <w:rPr>
          <w:rFonts w:ascii="Times New Roman" w:hAnsi="Times New Roman"/>
          <w:sz w:val="28"/>
          <w:szCs w:val="28"/>
          <w:lang w:val="sah-RU"/>
        </w:rPr>
        <w:t>-</w:t>
      </w:r>
      <w:r w:rsidRPr="00ED182D">
        <w:rPr>
          <w:rFonts w:ascii="Times New Roman" w:hAnsi="Times New Roman"/>
          <w:sz w:val="28"/>
          <w:szCs w:val="28"/>
        </w:rPr>
        <w:t xml:space="preserve">2020 </w:t>
      </w:r>
    </w:p>
    <w:p w:rsidR="001B2EC5" w:rsidRDefault="00A13E44" w:rsidP="001B2EC5">
      <w:pPr>
        <w:pStyle w:val="a3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sah-RU"/>
        </w:rPr>
      </w:pPr>
      <w:hyperlink r:id="rId5" w:history="1">
        <w:r w:rsidR="001B2EC5" w:rsidRPr="004A1A76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http://www.fipi.ru</w:t>
        </w:r>
      </w:hyperlink>
      <w:r w:rsidR="001B2EC5" w:rsidRPr="002D7EFF">
        <w:rPr>
          <w:rFonts w:ascii="Times New Roman" w:hAnsi="Times New Roman"/>
          <w:sz w:val="28"/>
          <w:szCs w:val="28"/>
          <w:lang w:val="sah-RU"/>
        </w:rPr>
        <w:t xml:space="preserve"> -</w:t>
      </w:r>
      <w:r w:rsidR="001B2EC5">
        <w:rPr>
          <w:rFonts w:ascii="Times New Roman" w:hAnsi="Times New Roman"/>
          <w:sz w:val="28"/>
          <w:szCs w:val="28"/>
          <w:lang w:val="sah-RU"/>
        </w:rPr>
        <w:t xml:space="preserve"> </w:t>
      </w:r>
      <w:r w:rsidR="001B2EC5" w:rsidRPr="00ED182D">
        <w:rPr>
          <w:rFonts w:ascii="Times New Roman" w:hAnsi="Times New Roman"/>
          <w:sz w:val="28"/>
          <w:szCs w:val="28"/>
        </w:rPr>
        <w:t xml:space="preserve">Открытый банк заданий ОГЭ </w:t>
      </w:r>
    </w:p>
    <w:p w:rsidR="001B2EC5" w:rsidRPr="00ED182D" w:rsidRDefault="001B2EC5" w:rsidP="001B2EC5">
      <w:pPr>
        <w:pStyle w:val="a3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  <w:lang w:val="sah-RU"/>
        </w:rPr>
        <w:t xml:space="preserve">Модульный курс “Я сдам ОГЭ!”, подготовленный при научно-методическом сопровождении ФГБНУ “Федеральный институт педагогических измерений”  (ФИПИ). Издательство “Просвещение”. </w:t>
      </w:r>
    </w:p>
    <w:p w:rsidR="001B2EC5" w:rsidRPr="00ED182D" w:rsidRDefault="001B2EC5" w:rsidP="001B2EC5">
      <w:pPr>
        <w:pStyle w:val="a3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 xml:space="preserve">https://edu.gov.ru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Министерство Просвещения Российской Федерации</w:t>
      </w:r>
    </w:p>
    <w:p w:rsidR="001B2EC5" w:rsidRPr="00ED182D" w:rsidRDefault="001B2EC5" w:rsidP="001B2EC5">
      <w:pPr>
        <w:pStyle w:val="a3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 xml:space="preserve">http://gia.edu.ru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Официальный информационный портал ГИА-9</w:t>
      </w:r>
    </w:p>
    <w:p w:rsidR="001B2EC5" w:rsidRPr="00ED182D" w:rsidRDefault="001B2EC5" w:rsidP="001B2EC5">
      <w:pPr>
        <w:pStyle w:val="a3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http://fgosreestr.ru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Реестр примерных основных общеобразовательных программ. Министерство образования и науки РФ</w:t>
      </w:r>
    </w:p>
    <w:p w:rsidR="001B2EC5" w:rsidRPr="00ED182D" w:rsidRDefault="001B2EC5" w:rsidP="001B2EC5">
      <w:pPr>
        <w:pStyle w:val="a3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www.fcior.edu.ru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Федеральный центр информационных образовательных ресурсов</w:t>
      </w:r>
    </w:p>
    <w:p w:rsidR="001B2EC5" w:rsidRPr="00ED182D" w:rsidRDefault="001B2EC5" w:rsidP="001B2EC5">
      <w:pPr>
        <w:pStyle w:val="a3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www.school-collection.edu.ru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Единая коллекция цифровых образовательных ресурсов</w:t>
      </w:r>
    </w:p>
    <w:p w:rsidR="001B2EC5" w:rsidRPr="00ED182D" w:rsidRDefault="001B2EC5" w:rsidP="001B2EC5">
      <w:pPr>
        <w:pStyle w:val="a3"/>
        <w:numPr>
          <w:ilvl w:val="0"/>
          <w:numId w:val="1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lastRenderedPageBreak/>
        <w:t>http://obrnadzor.gov.ru Сайт Федеральной службы по надзору в сфере образования и науки</w:t>
      </w:r>
    </w:p>
    <w:p w:rsidR="001B2EC5" w:rsidRPr="00ED182D" w:rsidRDefault="001B2EC5" w:rsidP="001B2EC5">
      <w:pPr>
        <w:jc w:val="both"/>
        <w:rPr>
          <w:sz w:val="28"/>
          <w:szCs w:val="28"/>
        </w:rPr>
      </w:pPr>
    </w:p>
    <w:p w:rsidR="001B2EC5" w:rsidRPr="001B2EC5" w:rsidRDefault="001B2EC5"/>
    <w:sectPr w:rsidR="001B2EC5" w:rsidRPr="001B2EC5" w:rsidSect="000B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A0363"/>
    <w:multiLevelType w:val="hybridMultilevel"/>
    <w:tmpl w:val="207E0142"/>
    <w:lvl w:ilvl="0" w:tplc="74B0F5F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B2EC5"/>
    <w:rsid w:val="000B4255"/>
    <w:rsid w:val="00123769"/>
    <w:rsid w:val="00144312"/>
    <w:rsid w:val="001B2EC5"/>
    <w:rsid w:val="002A3CFF"/>
    <w:rsid w:val="002B256D"/>
    <w:rsid w:val="004A1A76"/>
    <w:rsid w:val="004E1DBF"/>
    <w:rsid w:val="00677139"/>
    <w:rsid w:val="00707CA4"/>
    <w:rsid w:val="00725F84"/>
    <w:rsid w:val="008B789A"/>
    <w:rsid w:val="009438CB"/>
    <w:rsid w:val="00A13E44"/>
    <w:rsid w:val="00C45620"/>
    <w:rsid w:val="00FD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C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1B2EC5"/>
    <w:rPr>
      <w:color w:val="0000FF"/>
      <w:u w:val="single"/>
    </w:rPr>
  </w:style>
  <w:style w:type="character" w:customStyle="1" w:styleId="2">
    <w:name w:val="Основной текст (2)_"/>
    <w:basedOn w:val="a0"/>
    <w:rsid w:val="00707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sid w:val="00707CA4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0">
    <w:name w:val="Основной текст (2)"/>
    <w:basedOn w:val="2"/>
    <w:rsid w:val="00707C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707C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707CA4"/>
    <w:pPr>
      <w:widowControl w:val="0"/>
      <w:shd w:val="clear" w:color="auto" w:fill="FFFFFF"/>
      <w:spacing w:line="389" w:lineRule="exact"/>
      <w:jc w:val="both"/>
    </w:pPr>
    <w:rPr>
      <w:rFonts w:eastAsia="Times New Roman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707C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07CA4"/>
    <w:pPr>
      <w:widowControl w:val="0"/>
      <w:shd w:val="clear" w:color="auto" w:fill="FFFFFF"/>
      <w:spacing w:line="384" w:lineRule="exact"/>
      <w:ind w:firstLine="600"/>
      <w:jc w:val="both"/>
      <w:outlineLvl w:val="0"/>
    </w:pPr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2019-12-09T09:36:00Z</dcterms:created>
  <dcterms:modified xsi:type="dcterms:W3CDTF">2019-12-10T02:39:00Z</dcterms:modified>
</cp:coreProperties>
</file>